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DBF" w:rsidRDefault="00074DBF" w:rsidP="00074DBF">
      <w:pPr>
        <w:widowControl w:val="0"/>
        <w:spacing w:after="0" w:line="240" w:lineRule="auto"/>
        <w:jc w:val="both"/>
        <w:rPr>
          <w:rFonts w:ascii="Calibri" w:eastAsia="Times New Roman" w:hAnsi="Calibri" w:cs="Calibri"/>
          <w:b/>
          <w:sz w:val="20"/>
          <w:szCs w:val="20"/>
          <w:u w:val="single"/>
        </w:rPr>
      </w:pPr>
    </w:p>
    <w:p w:rsidR="00A30610" w:rsidRPr="00A30610" w:rsidRDefault="00A30610" w:rsidP="00A30610">
      <w:pPr>
        <w:spacing w:after="0" w:line="240" w:lineRule="auto"/>
        <w:jc w:val="center"/>
        <w:rPr>
          <w:rFonts w:ascii="Arial" w:eastAsia="Times New Roman" w:hAnsi="Arial" w:cs="Arial"/>
          <w:b/>
          <w:sz w:val="40"/>
          <w:szCs w:val="40"/>
          <w:lang w:eastAsia="en-GB"/>
        </w:rPr>
      </w:pPr>
      <w:r w:rsidRPr="00A30610">
        <w:rPr>
          <w:rFonts w:ascii="Arial" w:eastAsia="Times New Roman" w:hAnsi="Arial" w:cs="Arial"/>
          <w:b/>
          <w:sz w:val="40"/>
          <w:szCs w:val="40"/>
          <w:lang w:eastAsia="en-GB"/>
        </w:rPr>
        <w:t>Department of Epidemiology and Public Health</w:t>
      </w:r>
    </w:p>
    <w:p w:rsidR="00A30610" w:rsidRPr="00A30610" w:rsidRDefault="00A30610" w:rsidP="00A30610">
      <w:pPr>
        <w:spacing w:after="0" w:line="240" w:lineRule="auto"/>
        <w:jc w:val="center"/>
        <w:rPr>
          <w:rFonts w:ascii="Arial" w:eastAsia="Times New Roman" w:hAnsi="Arial" w:cs="Arial"/>
          <w:b/>
          <w:u w:val="single"/>
          <w:lang w:eastAsia="en-GB"/>
        </w:rPr>
      </w:pPr>
    </w:p>
    <w:p w:rsidR="00A30610" w:rsidRPr="00A30610" w:rsidRDefault="00A30610" w:rsidP="00A30610">
      <w:pPr>
        <w:spacing w:after="0" w:line="240" w:lineRule="auto"/>
        <w:jc w:val="center"/>
        <w:rPr>
          <w:rFonts w:ascii="Arial" w:eastAsia="Times New Roman" w:hAnsi="Arial" w:cs="Arial"/>
          <w:b/>
          <w:u w:val="single"/>
          <w:lang w:eastAsia="en-GB"/>
        </w:rPr>
      </w:pPr>
    </w:p>
    <w:p w:rsidR="00A30610" w:rsidRDefault="00A30610" w:rsidP="00A30610">
      <w:pPr>
        <w:widowControl w:val="0"/>
        <w:spacing w:after="0" w:line="240" w:lineRule="auto"/>
        <w:jc w:val="center"/>
        <w:rPr>
          <w:rFonts w:ascii="Calibri" w:eastAsia="Times New Roman" w:hAnsi="Calibri" w:cs="Calibri"/>
          <w:b/>
          <w:sz w:val="20"/>
          <w:szCs w:val="20"/>
          <w:u w:val="single"/>
        </w:rPr>
      </w:pPr>
      <w:r w:rsidRPr="00A30610">
        <w:rPr>
          <w:rFonts w:ascii="Arial" w:eastAsia="Times New Roman" w:hAnsi="Arial" w:cs="Arial"/>
          <w:b/>
          <w:u w:val="single"/>
          <w:lang w:eastAsia="en-GB"/>
        </w:rPr>
        <w:t>TRANSFER FROM MPhil TO PhD</w:t>
      </w:r>
    </w:p>
    <w:p w:rsidR="00A30610" w:rsidRDefault="00A30610" w:rsidP="00074DBF">
      <w:pPr>
        <w:widowControl w:val="0"/>
        <w:spacing w:after="0" w:line="240" w:lineRule="auto"/>
        <w:jc w:val="both"/>
        <w:rPr>
          <w:rFonts w:ascii="Calibri" w:eastAsia="Times New Roman" w:hAnsi="Calibri" w:cs="Calibri"/>
          <w:b/>
          <w:sz w:val="20"/>
          <w:szCs w:val="20"/>
          <w:u w:val="single"/>
        </w:rPr>
      </w:pPr>
    </w:p>
    <w:p w:rsidR="00A30610" w:rsidRDefault="00A30610" w:rsidP="00074DBF">
      <w:pPr>
        <w:widowControl w:val="0"/>
        <w:spacing w:after="0" w:line="240" w:lineRule="auto"/>
        <w:jc w:val="both"/>
        <w:rPr>
          <w:rFonts w:ascii="Calibri" w:eastAsia="Times New Roman" w:hAnsi="Calibri" w:cs="Calibri"/>
          <w:sz w:val="20"/>
          <w:szCs w:val="20"/>
        </w:rPr>
      </w:pPr>
    </w:p>
    <w:p w:rsidR="00A30610" w:rsidRDefault="00A30610" w:rsidP="00A30610">
      <w:pPr>
        <w:rPr>
          <w:sz w:val="28"/>
          <w:szCs w:val="28"/>
        </w:rPr>
      </w:pPr>
      <w:r>
        <w:rPr>
          <w:sz w:val="28"/>
          <w:szCs w:val="28"/>
        </w:rPr>
        <w:t>Thank you for agreeing to be the external examiner</w:t>
      </w:r>
    </w:p>
    <w:p w:rsidR="00A30610" w:rsidRPr="00074DBF" w:rsidRDefault="00A30610" w:rsidP="00A30610">
      <w:pPr>
        <w:widowControl w:val="0"/>
        <w:spacing w:after="0" w:line="240" w:lineRule="auto"/>
        <w:jc w:val="both"/>
        <w:rPr>
          <w:rFonts w:ascii="Calibri" w:eastAsia="Times New Roman" w:hAnsi="Calibri" w:cs="Calibri"/>
          <w:i/>
          <w:sz w:val="28"/>
          <w:szCs w:val="28"/>
        </w:rPr>
      </w:pPr>
      <w:r>
        <w:rPr>
          <w:rFonts w:ascii="Calibri" w:eastAsia="Times New Roman" w:hAnsi="Calibri" w:cs="Calibri"/>
          <w:i/>
          <w:sz w:val="28"/>
          <w:szCs w:val="28"/>
        </w:rPr>
        <w:t>T</w:t>
      </w:r>
      <w:r w:rsidRPr="00074DBF">
        <w:rPr>
          <w:rFonts w:ascii="Calibri" w:eastAsia="Times New Roman" w:hAnsi="Calibri" w:cs="Calibri"/>
          <w:i/>
          <w:sz w:val="28"/>
          <w:szCs w:val="28"/>
        </w:rPr>
        <w:t xml:space="preserve">he process involves reading a document of </w:t>
      </w:r>
      <w:r>
        <w:rPr>
          <w:rFonts w:ascii="Calibri" w:eastAsia="Times New Roman" w:hAnsi="Calibri" w:cs="Calibri"/>
          <w:i/>
          <w:sz w:val="28"/>
          <w:szCs w:val="28"/>
        </w:rPr>
        <w:t xml:space="preserve">approx. </w:t>
      </w:r>
      <w:r w:rsidRPr="00074DBF">
        <w:rPr>
          <w:rFonts w:ascii="Calibri" w:eastAsia="Times New Roman" w:hAnsi="Calibri" w:cs="Calibri"/>
          <w:i/>
          <w:sz w:val="28"/>
          <w:szCs w:val="28"/>
        </w:rPr>
        <w:t xml:space="preserve">10,000 words (which will be sent at least two weeks before the viva), attending </w:t>
      </w:r>
      <w:r>
        <w:rPr>
          <w:rFonts w:ascii="Calibri" w:eastAsia="Times New Roman" w:hAnsi="Calibri" w:cs="Calibri"/>
          <w:i/>
          <w:sz w:val="28"/>
          <w:szCs w:val="28"/>
        </w:rPr>
        <w:t>a</w:t>
      </w:r>
      <w:r w:rsidRPr="00074DBF">
        <w:rPr>
          <w:rFonts w:ascii="Calibri" w:eastAsia="Times New Roman" w:hAnsi="Calibri" w:cs="Calibri"/>
          <w:i/>
          <w:sz w:val="28"/>
          <w:szCs w:val="28"/>
        </w:rPr>
        <w:t xml:space="preserve"> seminar (40 minute</w:t>
      </w:r>
      <w:r>
        <w:rPr>
          <w:rFonts w:ascii="Calibri" w:eastAsia="Times New Roman" w:hAnsi="Calibri" w:cs="Calibri"/>
          <w:i/>
          <w:sz w:val="28"/>
          <w:szCs w:val="28"/>
        </w:rPr>
        <w:t>s</w:t>
      </w:r>
      <w:r w:rsidRPr="00074DBF">
        <w:rPr>
          <w:rFonts w:ascii="Calibri" w:eastAsia="Times New Roman" w:hAnsi="Calibri" w:cs="Calibri"/>
          <w:i/>
          <w:sz w:val="28"/>
          <w:szCs w:val="28"/>
        </w:rPr>
        <w:t xml:space="preserve"> presentation </w:t>
      </w:r>
      <w:r>
        <w:rPr>
          <w:rFonts w:ascii="Calibri" w:eastAsia="Times New Roman" w:hAnsi="Calibri" w:cs="Calibri"/>
          <w:i/>
          <w:sz w:val="28"/>
          <w:szCs w:val="28"/>
        </w:rPr>
        <w:t xml:space="preserve">by the student, </w:t>
      </w:r>
      <w:r w:rsidRPr="00074DBF">
        <w:rPr>
          <w:rFonts w:ascii="Calibri" w:eastAsia="Times New Roman" w:hAnsi="Calibri" w:cs="Calibri"/>
          <w:i/>
          <w:sz w:val="28"/>
          <w:szCs w:val="28"/>
        </w:rPr>
        <w:t xml:space="preserve">followed </w:t>
      </w:r>
      <w:r>
        <w:rPr>
          <w:rFonts w:ascii="Calibri" w:eastAsia="Times New Roman" w:hAnsi="Calibri" w:cs="Calibri"/>
          <w:i/>
          <w:sz w:val="28"/>
          <w:szCs w:val="28"/>
        </w:rPr>
        <w:t xml:space="preserve">by </w:t>
      </w:r>
      <w:r w:rsidRPr="00074DBF">
        <w:rPr>
          <w:rFonts w:ascii="Calibri" w:eastAsia="Times New Roman" w:hAnsi="Calibri" w:cs="Calibri"/>
          <w:i/>
          <w:sz w:val="28"/>
          <w:szCs w:val="28"/>
        </w:rPr>
        <w:t>questions from the audience –</w:t>
      </w:r>
      <w:r>
        <w:rPr>
          <w:rFonts w:ascii="Calibri" w:eastAsia="Times New Roman" w:hAnsi="Calibri" w:cs="Calibri"/>
          <w:i/>
          <w:sz w:val="28"/>
          <w:szCs w:val="28"/>
        </w:rPr>
        <w:t xml:space="preserve"> not the panel</w:t>
      </w:r>
      <w:r w:rsidRPr="00074DBF">
        <w:rPr>
          <w:rFonts w:ascii="Calibri" w:eastAsia="Times New Roman" w:hAnsi="Calibri" w:cs="Calibri"/>
          <w:i/>
          <w:sz w:val="28"/>
          <w:szCs w:val="28"/>
        </w:rPr>
        <w:t xml:space="preserve">) and then a </w:t>
      </w:r>
      <w:r>
        <w:rPr>
          <w:rFonts w:ascii="Calibri" w:eastAsia="Times New Roman" w:hAnsi="Calibri" w:cs="Calibri"/>
          <w:i/>
          <w:sz w:val="28"/>
          <w:szCs w:val="28"/>
        </w:rPr>
        <w:t>viva</w:t>
      </w:r>
      <w:r w:rsidRPr="00074DBF">
        <w:rPr>
          <w:rFonts w:ascii="Calibri" w:eastAsia="Times New Roman" w:hAnsi="Calibri" w:cs="Calibri"/>
          <w:i/>
          <w:sz w:val="28"/>
          <w:szCs w:val="28"/>
        </w:rPr>
        <w:t xml:space="preserve"> that will be chaired by the secondary supervisor at which the external </w:t>
      </w:r>
      <w:r>
        <w:rPr>
          <w:rFonts w:ascii="Calibri" w:eastAsia="Times New Roman" w:hAnsi="Calibri" w:cs="Calibri"/>
          <w:i/>
          <w:sz w:val="28"/>
          <w:szCs w:val="28"/>
        </w:rPr>
        <w:t xml:space="preserve">examiner </w:t>
      </w:r>
      <w:r w:rsidRPr="00074DBF">
        <w:rPr>
          <w:rFonts w:ascii="Calibri" w:eastAsia="Times New Roman" w:hAnsi="Calibri" w:cs="Calibri"/>
          <w:i/>
          <w:sz w:val="28"/>
          <w:szCs w:val="28"/>
        </w:rPr>
        <w:t>will have the opportunity to ask questions and discuss the project with the student.</w:t>
      </w:r>
    </w:p>
    <w:p w:rsidR="00A30610" w:rsidRPr="00074DBF" w:rsidRDefault="00A30610" w:rsidP="00A30610">
      <w:pPr>
        <w:widowControl w:val="0"/>
        <w:spacing w:after="0" w:line="240" w:lineRule="auto"/>
        <w:jc w:val="both"/>
        <w:rPr>
          <w:rFonts w:ascii="Calibri" w:eastAsia="Times New Roman" w:hAnsi="Calibri" w:cs="Calibri"/>
          <w:i/>
          <w:sz w:val="28"/>
          <w:szCs w:val="28"/>
        </w:rPr>
      </w:pPr>
    </w:p>
    <w:p w:rsidR="00A30610" w:rsidRPr="00074DBF" w:rsidRDefault="00A30610" w:rsidP="00A30610">
      <w:pPr>
        <w:widowControl w:val="0"/>
        <w:spacing w:after="0" w:line="240" w:lineRule="auto"/>
        <w:jc w:val="both"/>
        <w:rPr>
          <w:rFonts w:ascii="Calibri" w:eastAsia="Times New Roman" w:hAnsi="Calibri" w:cs="Calibri"/>
          <w:i/>
          <w:sz w:val="28"/>
          <w:szCs w:val="28"/>
        </w:rPr>
      </w:pPr>
      <w:r w:rsidRPr="00074DBF">
        <w:rPr>
          <w:rFonts w:ascii="Calibri" w:eastAsia="Times New Roman" w:hAnsi="Calibri" w:cs="Calibri"/>
          <w:i/>
          <w:sz w:val="28"/>
          <w:szCs w:val="28"/>
        </w:rPr>
        <w:t>Lunch will be provided and expenses paid.</w:t>
      </w:r>
    </w:p>
    <w:p w:rsidR="00A30610" w:rsidRDefault="00A30610" w:rsidP="00074DBF">
      <w:pPr>
        <w:widowControl w:val="0"/>
        <w:spacing w:after="0" w:line="240" w:lineRule="auto"/>
        <w:jc w:val="both"/>
        <w:rPr>
          <w:rFonts w:ascii="Calibri" w:eastAsia="Times New Roman" w:hAnsi="Calibri" w:cs="Calibri"/>
          <w:sz w:val="20"/>
          <w:szCs w:val="20"/>
        </w:rPr>
      </w:pPr>
    </w:p>
    <w:p w:rsidR="00A30610" w:rsidRPr="00A30610" w:rsidRDefault="00A30610" w:rsidP="00074DBF">
      <w:pPr>
        <w:widowControl w:val="0"/>
        <w:spacing w:after="0" w:line="240" w:lineRule="auto"/>
        <w:jc w:val="both"/>
        <w:rPr>
          <w:rFonts w:ascii="Calibri" w:eastAsia="Times New Roman" w:hAnsi="Calibri" w:cs="Calibri"/>
          <w:b/>
          <w:sz w:val="20"/>
          <w:szCs w:val="20"/>
          <w:u w:val="single"/>
        </w:rPr>
      </w:pPr>
      <w:r w:rsidRPr="00A30610">
        <w:rPr>
          <w:rFonts w:ascii="Calibri" w:eastAsia="Times New Roman" w:hAnsi="Calibri" w:cs="Calibri"/>
          <w:b/>
          <w:sz w:val="20"/>
          <w:szCs w:val="20"/>
          <w:u w:val="single"/>
        </w:rPr>
        <w:t>Purpose and Procedures</w:t>
      </w:r>
    </w:p>
    <w:p w:rsidR="00074DBF" w:rsidRPr="00074DBF" w:rsidRDefault="00074DBF" w:rsidP="00074DBF">
      <w:pPr>
        <w:widowControl w:val="0"/>
        <w:spacing w:after="0" w:line="240" w:lineRule="auto"/>
        <w:jc w:val="both"/>
        <w:rPr>
          <w:rFonts w:ascii="Calibri" w:eastAsia="Times New Roman" w:hAnsi="Calibri" w:cs="Calibri"/>
          <w:sz w:val="20"/>
          <w:szCs w:val="20"/>
        </w:rPr>
      </w:pPr>
      <w:r w:rsidRPr="00074DBF">
        <w:rPr>
          <w:rFonts w:ascii="Calibri" w:eastAsia="Times New Roman" w:hAnsi="Calibri" w:cs="Calibri"/>
          <w:sz w:val="20"/>
          <w:szCs w:val="20"/>
        </w:rPr>
        <w:t>The purpose of the</w:t>
      </w:r>
      <w:r w:rsidR="00A30610">
        <w:rPr>
          <w:rFonts w:ascii="Calibri" w:eastAsia="Times New Roman" w:hAnsi="Calibri" w:cs="Calibri"/>
          <w:sz w:val="20"/>
          <w:szCs w:val="20"/>
        </w:rPr>
        <w:t xml:space="preserve"> Transfer</w:t>
      </w:r>
      <w:r w:rsidRPr="00074DBF">
        <w:rPr>
          <w:rFonts w:ascii="Calibri" w:eastAsia="Times New Roman" w:hAnsi="Calibri" w:cs="Calibri"/>
          <w:sz w:val="20"/>
          <w:szCs w:val="20"/>
        </w:rPr>
        <w:t xml:space="preserve"> </w:t>
      </w:r>
      <w:r w:rsidR="00A30610">
        <w:rPr>
          <w:rFonts w:ascii="Calibri" w:eastAsia="Times New Roman" w:hAnsi="Calibri" w:cs="Calibri"/>
          <w:sz w:val="20"/>
          <w:szCs w:val="20"/>
        </w:rPr>
        <w:t>(previously called “</w:t>
      </w:r>
      <w:bookmarkStart w:id="0" w:name="_GoBack"/>
      <w:r w:rsidRPr="00074DBF">
        <w:rPr>
          <w:rFonts w:ascii="Calibri" w:eastAsia="Times New Roman" w:hAnsi="Calibri" w:cs="Calibri"/>
          <w:sz w:val="20"/>
          <w:szCs w:val="20"/>
        </w:rPr>
        <w:t>upgrade</w:t>
      </w:r>
      <w:bookmarkEnd w:id="0"/>
      <w:r w:rsidR="00A30610">
        <w:rPr>
          <w:rFonts w:ascii="Calibri" w:eastAsia="Times New Roman" w:hAnsi="Calibri" w:cs="Calibri"/>
          <w:sz w:val="20"/>
          <w:szCs w:val="20"/>
        </w:rPr>
        <w:t>”)</w:t>
      </w:r>
      <w:r w:rsidRPr="00074DBF">
        <w:rPr>
          <w:rFonts w:ascii="Calibri" w:eastAsia="Times New Roman" w:hAnsi="Calibri" w:cs="Calibri"/>
          <w:sz w:val="20"/>
          <w:szCs w:val="20"/>
        </w:rPr>
        <w:t xml:space="preserve"> is to assess the student’s progress and ability to complete their PhD programme in a reasonable time frame. In this assessment, the criteria defined below should be applied. The assessment should not be confined to the research material presented by the student but should also consider the student’s demonstrable academic and generic skills. A student should be </w:t>
      </w:r>
      <w:proofErr w:type="spellStart"/>
      <w:r w:rsidR="00A30610">
        <w:rPr>
          <w:rFonts w:ascii="Calibri" w:eastAsia="Times New Roman" w:hAnsi="Calibri" w:cs="Calibri"/>
          <w:sz w:val="20"/>
          <w:szCs w:val="20"/>
        </w:rPr>
        <w:t>transfered</w:t>
      </w:r>
      <w:proofErr w:type="spellEnd"/>
      <w:r w:rsidRPr="00074DBF">
        <w:rPr>
          <w:rFonts w:ascii="Calibri" w:eastAsia="Times New Roman" w:hAnsi="Calibri" w:cs="Calibri"/>
          <w:sz w:val="20"/>
          <w:szCs w:val="20"/>
        </w:rPr>
        <w:t xml:space="preserve"> to PhD status if he or she meets the following criteria: </w:t>
      </w:r>
    </w:p>
    <w:p w:rsidR="00074DBF" w:rsidRPr="00074DBF" w:rsidRDefault="00074DBF" w:rsidP="00074DBF">
      <w:pPr>
        <w:widowControl w:val="0"/>
        <w:numPr>
          <w:ilvl w:val="3"/>
          <w:numId w:val="1"/>
        </w:numPr>
        <w:spacing w:after="0" w:line="240" w:lineRule="auto"/>
        <w:ind w:left="417"/>
        <w:jc w:val="both"/>
        <w:rPr>
          <w:rFonts w:ascii="Calibri" w:eastAsia="Times New Roman" w:hAnsi="Calibri" w:cs="Calibri"/>
          <w:sz w:val="20"/>
          <w:szCs w:val="20"/>
        </w:rPr>
      </w:pPr>
      <w:r w:rsidRPr="00074DBF">
        <w:rPr>
          <w:rFonts w:ascii="Calibri" w:eastAsia="Times New Roman" w:hAnsi="Calibri" w:cs="Calibri"/>
          <w:sz w:val="20"/>
          <w:szCs w:val="20"/>
        </w:rPr>
        <w:t xml:space="preserve">Commitment to pursuing research at UCL leading to the PhD degree; </w:t>
      </w:r>
    </w:p>
    <w:p w:rsidR="00074DBF" w:rsidRPr="00074DBF" w:rsidRDefault="00074DBF" w:rsidP="00074DBF">
      <w:pPr>
        <w:widowControl w:val="0"/>
        <w:numPr>
          <w:ilvl w:val="3"/>
          <w:numId w:val="1"/>
        </w:numPr>
        <w:spacing w:after="0" w:line="240" w:lineRule="auto"/>
        <w:ind w:left="417"/>
        <w:jc w:val="both"/>
        <w:rPr>
          <w:rFonts w:ascii="Calibri" w:eastAsia="Times New Roman" w:hAnsi="Calibri" w:cs="Calibri"/>
          <w:sz w:val="20"/>
          <w:szCs w:val="20"/>
        </w:rPr>
      </w:pPr>
      <w:r w:rsidRPr="00074DBF">
        <w:rPr>
          <w:rFonts w:ascii="Calibri" w:eastAsia="Times New Roman" w:hAnsi="Calibri" w:cs="Calibri"/>
          <w:sz w:val="20"/>
          <w:szCs w:val="20"/>
        </w:rPr>
        <w:t xml:space="preserve">Satisfactory progress in the work so far; </w:t>
      </w:r>
    </w:p>
    <w:p w:rsidR="00074DBF" w:rsidRPr="00074DBF" w:rsidRDefault="00074DBF" w:rsidP="00074DBF">
      <w:pPr>
        <w:widowControl w:val="0"/>
        <w:numPr>
          <w:ilvl w:val="3"/>
          <w:numId w:val="1"/>
        </w:numPr>
        <w:spacing w:after="0" w:line="240" w:lineRule="auto"/>
        <w:ind w:left="417"/>
        <w:jc w:val="both"/>
        <w:rPr>
          <w:rFonts w:ascii="Calibri" w:eastAsia="Times New Roman" w:hAnsi="Calibri" w:cs="Calibri"/>
          <w:sz w:val="20"/>
          <w:szCs w:val="20"/>
        </w:rPr>
      </w:pPr>
      <w:r w:rsidRPr="00074DBF">
        <w:rPr>
          <w:rFonts w:ascii="Calibri" w:eastAsia="Times New Roman" w:hAnsi="Calibri" w:cs="Calibri"/>
          <w:sz w:val="20"/>
          <w:szCs w:val="20"/>
        </w:rPr>
        <w:t xml:space="preserve">Ability to formulate a viable hypothesis or research question that could be completed within the normal time frame of the PhD programme; </w:t>
      </w:r>
    </w:p>
    <w:p w:rsidR="00074DBF" w:rsidRPr="00074DBF" w:rsidRDefault="00074DBF" w:rsidP="00074DBF">
      <w:pPr>
        <w:widowControl w:val="0"/>
        <w:numPr>
          <w:ilvl w:val="3"/>
          <w:numId w:val="1"/>
        </w:numPr>
        <w:spacing w:after="0" w:line="240" w:lineRule="auto"/>
        <w:ind w:left="417"/>
        <w:jc w:val="both"/>
        <w:rPr>
          <w:rFonts w:ascii="Calibri" w:eastAsia="Times New Roman" w:hAnsi="Calibri" w:cs="Calibri"/>
          <w:sz w:val="20"/>
          <w:szCs w:val="20"/>
        </w:rPr>
      </w:pPr>
      <w:r w:rsidRPr="00074DBF">
        <w:rPr>
          <w:rFonts w:ascii="Calibri" w:eastAsia="Times New Roman" w:hAnsi="Calibri" w:cs="Calibri"/>
          <w:sz w:val="20"/>
          <w:szCs w:val="20"/>
        </w:rPr>
        <w:t xml:space="preserve">Satisfactory technical and generic skills development Students must undertake a minimum of 20 recognised skills training units per academic year. </w:t>
      </w:r>
    </w:p>
    <w:p w:rsidR="00074DBF" w:rsidRPr="00074DBF" w:rsidRDefault="00074DBF" w:rsidP="00074DBF">
      <w:pPr>
        <w:widowControl w:val="0"/>
        <w:numPr>
          <w:ilvl w:val="3"/>
          <w:numId w:val="1"/>
        </w:numPr>
        <w:spacing w:after="0" w:line="240" w:lineRule="auto"/>
        <w:ind w:left="417"/>
        <w:jc w:val="both"/>
        <w:rPr>
          <w:rFonts w:ascii="Calibri" w:eastAsia="Times New Roman" w:hAnsi="Calibri" w:cs="Calibri"/>
          <w:sz w:val="20"/>
          <w:szCs w:val="20"/>
        </w:rPr>
      </w:pPr>
      <w:r w:rsidRPr="00074DBF">
        <w:rPr>
          <w:rFonts w:ascii="Calibri" w:eastAsia="Times New Roman" w:hAnsi="Calibri" w:cs="Calibri"/>
          <w:sz w:val="20"/>
          <w:szCs w:val="20"/>
        </w:rPr>
        <w:t xml:space="preserve">Formulation of a viable plan for the work; </w:t>
      </w:r>
    </w:p>
    <w:p w:rsidR="00074DBF" w:rsidRPr="00074DBF" w:rsidRDefault="00074DBF" w:rsidP="00074DBF">
      <w:pPr>
        <w:widowControl w:val="0"/>
        <w:numPr>
          <w:ilvl w:val="3"/>
          <w:numId w:val="1"/>
        </w:numPr>
        <w:spacing w:after="0" w:line="240" w:lineRule="auto"/>
        <w:ind w:left="417"/>
        <w:jc w:val="both"/>
        <w:rPr>
          <w:rFonts w:ascii="Calibri" w:eastAsia="Times New Roman" w:hAnsi="Calibri" w:cs="Calibri"/>
          <w:sz w:val="20"/>
          <w:szCs w:val="20"/>
        </w:rPr>
      </w:pPr>
      <w:r w:rsidRPr="00074DBF">
        <w:rPr>
          <w:rFonts w:ascii="Calibri" w:eastAsia="Times New Roman" w:hAnsi="Calibri" w:cs="Calibri"/>
          <w:sz w:val="20"/>
          <w:szCs w:val="20"/>
        </w:rPr>
        <w:t xml:space="preserve">Completion of the appropriate sections of the Research Student Log; </w:t>
      </w:r>
    </w:p>
    <w:p w:rsidR="00074DBF" w:rsidRPr="00074DBF" w:rsidRDefault="00074DBF" w:rsidP="00074DBF">
      <w:pPr>
        <w:widowControl w:val="0"/>
        <w:numPr>
          <w:ilvl w:val="3"/>
          <w:numId w:val="1"/>
        </w:numPr>
        <w:spacing w:after="0" w:line="240" w:lineRule="auto"/>
        <w:ind w:left="417"/>
        <w:jc w:val="both"/>
        <w:rPr>
          <w:rFonts w:ascii="Calibri" w:eastAsia="Times New Roman" w:hAnsi="Calibri" w:cs="Calibri"/>
          <w:sz w:val="20"/>
          <w:szCs w:val="20"/>
        </w:rPr>
      </w:pPr>
      <w:r w:rsidRPr="00074DBF">
        <w:rPr>
          <w:rFonts w:ascii="Calibri" w:eastAsia="Times New Roman" w:hAnsi="Calibri" w:cs="Calibri"/>
          <w:sz w:val="20"/>
          <w:szCs w:val="20"/>
        </w:rPr>
        <w:t xml:space="preserve">English Language proficiency, both written and spoken. </w:t>
      </w:r>
    </w:p>
    <w:p w:rsidR="00074DBF" w:rsidRPr="00074DBF" w:rsidRDefault="00074DBF" w:rsidP="00074DBF">
      <w:pPr>
        <w:widowControl w:val="0"/>
        <w:spacing w:after="0" w:line="240" w:lineRule="auto"/>
        <w:jc w:val="both"/>
        <w:rPr>
          <w:rFonts w:ascii="Calibri" w:eastAsia="Times New Roman" w:hAnsi="Calibri" w:cs="Calibri"/>
          <w:sz w:val="20"/>
          <w:szCs w:val="20"/>
        </w:rPr>
      </w:pPr>
      <w:r w:rsidRPr="00074DBF">
        <w:rPr>
          <w:rFonts w:ascii="Calibri" w:eastAsia="Times New Roman" w:hAnsi="Calibri" w:cs="Calibri"/>
          <w:sz w:val="20"/>
          <w:szCs w:val="20"/>
        </w:rPr>
        <w:t xml:space="preserve">It is expected that the specific components in the student’s </w:t>
      </w:r>
      <w:r w:rsidR="00A30610">
        <w:rPr>
          <w:rFonts w:ascii="Calibri" w:eastAsia="Times New Roman" w:hAnsi="Calibri" w:cs="Calibri"/>
          <w:sz w:val="20"/>
          <w:szCs w:val="20"/>
        </w:rPr>
        <w:t>transfer</w:t>
      </w:r>
      <w:r w:rsidRPr="00074DBF">
        <w:rPr>
          <w:rFonts w:ascii="Calibri" w:eastAsia="Times New Roman" w:hAnsi="Calibri" w:cs="Calibri"/>
          <w:sz w:val="20"/>
          <w:szCs w:val="20"/>
        </w:rPr>
        <w:t xml:space="preserve"> report, in conjunction with the seminar and viva will demonstrate that these criteria have been met. </w:t>
      </w:r>
    </w:p>
    <w:p w:rsidR="00074DBF" w:rsidRPr="00074DBF" w:rsidRDefault="00074DBF" w:rsidP="00074DBF">
      <w:pPr>
        <w:widowControl w:val="0"/>
        <w:spacing w:after="0" w:line="240" w:lineRule="auto"/>
        <w:jc w:val="both"/>
        <w:rPr>
          <w:rFonts w:ascii="Calibri" w:eastAsia="Times New Roman" w:hAnsi="Calibri" w:cs="Calibri"/>
          <w:sz w:val="20"/>
          <w:szCs w:val="20"/>
        </w:rPr>
      </w:pPr>
    </w:p>
    <w:p w:rsidR="00074DBF" w:rsidRPr="00074DBF" w:rsidRDefault="00074DBF" w:rsidP="00074DBF">
      <w:pPr>
        <w:widowControl w:val="0"/>
        <w:spacing w:after="0" w:line="240" w:lineRule="auto"/>
        <w:jc w:val="both"/>
        <w:rPr>
          <w:rFonts w:ascii="Calibri" w:eastAsia="Times New Roman" w:hAnsi="Calibri" w:cs="Calibri"/>
          <w:b/>
          <w:sz w:val="20"/>
          <w:szCs w:val="20"/>
        </w:rPr>
      </w:pPr>
      <w:r w:rsidRPr="00074DBF">
        <w:rPr>
          <w:rFonts w:ascii="Calibri" w:eastAsia="Times New Roman" w:hAnsi="Calibri" w:cs="Calibri"/>
          <w:b/>
          <w:iCs/>
          <w:sz w:val="20"/>
          <w:szCs w:val="20"/>
        </w:rPr>
        <w:t xml:space="preserve">The </w:t>
      </w:r>
      <w:r w:rsidR="00A30610">
        <w:rPr>
          <w:rFonts w:ascii="Calibri" w:eastAsia="Times New Roman" w:hAnsi="Calibri" w:cs="Calibri"/>
          <w:b/>
          <w:iCs/>
          <w:sz w:val="20"/>
          <w:szCs w:val="20"/>
        </w:rPr>
        <w:t xml:space="preserve">Transfer </w:t>
      </w:r>
      <w:r w:rsidRPr="00074DBF">
        <w:rPr>
          <w:rFonts w:ascii="Calibri" w:eastAsia="Times New Roman" w:hAnsi="Calibri" w:cs="Calibri"/>
          <w:b/>
          <w:iCs/>
          <w:sz w:val="20"/>
          <w:szCs w:val="20"/>
        </w:rPr>
        <w:t>Report</w:t>
      </w:r>
      <w:r w:rsidRPr="00074DBF">
        <w:rPr>
          <w:rFonts w:ascii="Calibri" w:eastAsia="Times New Roman" w:hAnsi="Calibri" w:cs="Calibri"/>
          <w:b/>
          <w:sz w:val="20"/>
          <w:szCs w:val="20"/>
        </w:rPr>
        <w:t xml:space="preserve"> </w:t>
      </w:r>
    </w:p>
    <w:p w:rsidR="00074DBF" w:rsidRPr="00074DBF" w:rsidRDefault="00074DBF" w:rsidP="00074DBF">
      <w:pPr>
        <w:widowControl w:val="0"/>
        <w:spacing w:after="0" w:line="240" w:lineRule="auto"/>
        <w:jc w:val="both"/>
        <w:rPr>
          <w:rFonts w:ascii="Calibri" w:eastAsia="Times New Roman" w:hAnsi="Calibri" w:cs="Calibri"/>
          <w:sz w:val="20"/>
          <w:szCs w:val="20"/>
        </w:rPr>
      </w:pPr>
      <w:r w:rsidRPr="00074DBF">
        <w:rPr>
          <w:rFonts w:ascii="Calibri" w:eastAsia="Times New Roman" w:hAnsi="Calibri" w:cs="Calibri"/>
          <w:sz w:val="20"/>
          <w:szCs w:val="20"/>
        </w:rPr>
        <w:t xml:space="preserve">The </w:t>
      </w:r>
      <w:r w:rsidR="00A30610">
        <w:rPr>
          <w:rFonts w:ascii="Calibri" w:eastAsia="Times New Roman" w:hAnsi="Calibri" w:cs="Calibri"/>
          <w:sz w:val="20"/>
          <w:szCs w:val="20"/>
        </w:rPr>
        <w:t>Transfer</w:t>
      </w:r>
      <w:r w:rsidRPr="00074DBF">
        <w:rPr>
          <w:rFonts w:ascii="Calibri" w:eastAsia="Times New Roman" w:hAnsi="Calibri" w:cs="Calibri"/>
          <w:sz w:val="20"/>
          <w:szCs w:val="20"/>
        </w:rPr>
        <w:t xml:space="preserve"> Report should be drafted by the student in consultation with the Principal Supervisor and the Subsidiary Supervisor(s). Whilst it is recognised that the exact nature of the report submitted by the student will depend on discipline, it should cover at least the following components (not necessarily as discrete items). </w:t>
      </w:r>
    </w:p>
    <w:p w:rsidR="00074DBF" w:rsidRPr="00074DBF" w:rsidRDefault="00074DBF" w:rsidP="00074DBF">
      <w:pPr>
        <w:widowControl w:val="0"/>
        <w:numPr>
          <w:ilvl w:val="0"/>
          <w:numId w:val="2"/>
        </w:numPr>
        <w:spacing w:after="0" w:line="240" w:lineRule="auto"/>
        <w:jc w:val="both"/>
        <w:rPr>
          <w:rFonts w:ascii="Calibri" w:eastAsia="Times New Roman" w:hAnsi="Calibri" w:cs="Calibri"/>
          <w:sz w:val="20"/>
          <w:szCs w:val="20"/>
        </w:rPr>
      </w:pPr>
      <w:r w:rsidRPr="00074DBF">
        <w:rPr>
          <w:rFonts w:ascii="Calibri" w:eastAsia="Times New Roman" w:hAnsi="Calibri" w:cs="Calibri"/>
          <w:sz w:val="20"/>
          <w:szCs w:val="20"/>
        </w:rPr>
        <w:t>Introduction giving the context of the work</w:t>
      </w:r>
    </w:p>
    <w:p w:rsidR="00074DBF" w:rsidRPr="00074DBF" w:rsidRDefault="00074DBF" w:rsidP="00074DBF">
      <w:pPr>
        <w:widowControl w:val="0"/>
        <w:numPr>
          <w:ilvl w:val="0"/>
          <w:numId w:val="2"/>
        </w:numPr>
        <w:spacing w:after="0" w:line="240" w:lineRule="auto"/>
        <w:jc w:val="both"/>
        <w:rPr>
          <w:rFonts w:ascii="Calibri" w:eastAsia="Times New Roman" w:hAnsi="Calibri" w:cs="Calibri"/>
          <w:sz w:val="20"/>
          <w:szCs w:val="20"/>
        </w:rPr>
      </w:pPr>
      <w:r w:rsidRPr="00074DBF">
        <w:rPr>
          <w:rFonts w:ascii="Calibri" w:eastAsia="Times New Roman" w:hAnsi="Calibri" w:cs="Calibri"/>
          <w:sz w:val="20"/>
          <w:szCs w:val="20"/>
        </w:rPr>
        <w:t>Literature review</w:t>
      </w:r>
    </w:p>
    <w:p w:rsidR="00074DBF" w:rsidRPr="00074DBF" w:rsidRDefault="00074DBF" w:rsidP="00074DBF">
      <w:pPr>
        <w:widowControl w:val="0"/>
        <w:numPr>
          <w:ilvl w:val="0"/>
          <w:numId w:val="2"/>
        </w:numPr>
        <w:spacing w:after="0" w:line="240" w:lineRule="auto"/>
        <w:jc w:val="both"/>
        <w:rPr>
          <w:rFonts w:ascii="Calibri" w:eastAsia="Times New Roman" w:hAnsi="Calibri" w:cs="Calibri"/>
          <w:sz w:val="20"/>
          <w:szCs w:val="20"/>
        </w:rPr>
      </w:pPr>
      <w:r w:rsidRPr="00074DBF">
        <w:rPr>
          <w:rFonts w:ascii="Calibri" w:eastAsia="Times New Roman" w:hAnsi="Calibri" w:cs="Calibri"/>
          <w:sz w:val="20"/>
          <w:szCs w:val="20"/>
        </w:rPr>
        <w:t>Research questions and hypothesis(</w:t>
      </w:r>
      <w:proofErr w:type="spellStart"/>
      <w:r w:rsidRPr="00074DBF">
        <w:rPr>
          <w:rFonts w:ascii="Calibri" w:eastAsia="Times New Roman" w:hAnsi="Calibri" w:cs="Calibri"/>
          <w:sz w:val="20"/>
          <w:szCs w:val="20"/>
        </w:rPr>
        <w:t>es</w:t>
      </w:r>
      <w:proofErr w:type="spellEnd"/>
      <w:r w:rsidRPr="00074DBF">
        <w:rPr>
          <w:rFonts w:ascii="Calibri" w:eastAsia="Times New Roman" w:hAnsi="Calibri" w:cs="Calibri"/>
          <w:sz w:val="20"/>
          <w:szCs w:val="20"/>
        </w:rPr>
        <w:t xml:space="preserve">) </w:t>
      </w:r>
    </w:p>
    <w:p w:rsidR="00074DBF" w:rsidRPr="00074DBF" w:rsidRDefault="00074DBF" w:rsidP="00074DBF">
      <w:pPr>
        <w:widowControl w:val="0"/>
        <w:numPr>
          <w:ilvl w:val="0"/>
          <w:numId w:val="2"/>
        </w:numPr>
        <w:spacing w:after="0" w:line="240" w:lineRule="auto"/>
        <w:jc w:val="both"/>
        <w:rPr>
          <w:rFonts w:ascii="Calibri" w:eastAsia="Times New Roman" w:hAnsi="Calibri" w:cs="Calibri"/>
          <w:sz w:val="20"/>
          <w:szCs w:val="20"/>
        </w:rPr>
      </w:pPr>
      <w:r w:rsidRPr="00074DBF">
        <w:rPr>
          <w:rFonts w:ascii="Calibri" w:eastAsia="Times New Roman" w:hAnsi="Calibri" w:cs="Calibri"/>
          <w:sz w:val="20"/>
          <w:szCs w:val="20"/>
        </w:rPr>
        <w:t>Methodology employed</w:t>
      </w:r>
    </w:p>
    <w:p w:rsidR="00074DBF" w:rsidRPr="00074DBF" w:rsidRDefault="00074DBF" w:rsidP="00074DBF">
      <w:pPr>
        <w:widowControl w:val="0"/>
        <w:numPr>
          <w:ilvl w:val="0"/>
          <w:numId w:val="2"/>
        </w:numPr>
        <w:spacing w:after="0" w:line="240" w:lineRule="auto"/>
        <w:jc w:val="both"/>
        <w:rPr>
          <w:rFonts w:ascii="Calibri" w:eastAsia="Times New Roman" w:hAnsi="Calibri" w:cs="Calibri"/>
          <w:sz w:val="20"/>
          <w:szCs w:val="20"/>
        </w:rPr>
      </w:pPr>
      <w:r w:rsidRPr="00074DBF">
        <w:rPr>
          <w:rFonts w:ascii="Calibri" w:eastAsia="Times New Roman" w:hAnsi="Calibri" w:cs="Calibri"/>
          <w:sz w:val="20"/>
          <w:szCs w:val="20"/>
        </w:rPr>
        <w:t>A substantial piece of work towards the thesis objectives</w:t>
      </w:r>
    </w:p>
    <w:p w:rsidR="00074DBF" w:rsidRPr="00074DBF" w:rsidRDefault="00074DBF" w:rsidP="00074DBF">
      <w:pPr>
        <w:widowControl w:val="0"/>
        <w:numPr>
          <w:ilvl w:val="0"/>
          <w:numId w:val="2"/>
        </w:numPr>
        <w:spacing w:after="0" w:line="240" w:lineRule="auto"/>
        <w:jc w:val="both"/>
        <w:rPr>
          <w:rFonts w:ascii="Calibri" w:eastAsia="Times New Roman" w:hAnsi="Calibri" w:cs="Calibri"/>
          <w:sz w:val="20"/>
          <w:szCs w:val="20"/>
        </w:rPr>
      </w:pPr>
      <w:r w:rsidRPr="00074DBF">
        <w:rPr>
          <w:rFonts w:ascii="Calibri" w:eastAsia="Times New Roman" w:hAnsi="Calibri" w:cs="Calibri"/>
          <w:sz w:val="20"/>
          <w:szCs w:val="20"/>
        </w:rPr>
        <w:t xml:space="preserve">Plan and timetable for the remainder of the work; </w:t>
      </w:r>
    </w:p>
    <w:p w:rsidR="00074DBF" w:rsidRPr="00074DBF" w:rsidRDefault="00074DBF" w:rsidP="00074DBF">
      <w:pPr>
        <w:widowControl w:val="0"/>
        <w:numPr>
          <w:ilvl w:val="0"/>
          <w:numId w:val="2"/>
        </w:numPr>
        <w:spacing w:after="0" w:line="240" w:lineRule="auto"/>
        <w:jc w:val="both"/>
        <w:rPr>
          <w:rFonts w:ascii="Calibri" w:eastAsia="Times New Roman" w:hAnsi="Calibri" w:cs="Calibri"/>
          <w:sz w:val="20"/>
          <w:szCs w:val="20"/>
        </w:rPr>
      </w:pPr>
      <w:r w:rsidRPr="00074DBF">
        <w:rPr>
          <w:rFonts w:ascii="Calibri" w:eastAsia="Times New Roman" w:hAnsi="Calibri" w:cs="Calibri"/>
          <w:sz w:val="20"/>
          <w:szCs w:val="20"/>
        </w:rPr>
        <w:t xml:space="preserve">Bibliography. </w:t>
      </w:r>
    </w:p>
    <w:p w:rsidR="00074DBF" w:rsidRPr="00074DBF" w:rsidRDefault="00074DBF" w:rsidP="00074DBF">
      <w:pPr>
        <w:widowControl w:val="0"/>
        <w:spacing w:after="0" w:line="240" w:lineRule="auto"/>
        <w:jc w:val="both"/>
        <w:rPr>
          <w:rFonts w:ascii="Calibri" w:eastAsia="Times New Roman" w:hAnsi="Calibri" w:cs="Calibri"/>
          <w:i/>
          <w:iCs/>
          <w:sz w:val="20"/>
          <w:szCs w:val="20"/>
        </w:rPr>
      </w:pPr>
    </w:p>
    <w:p w:rsidR="00074DBF" w:rsidRPr="00074DBF" w:rsidRDefault="00074DBF" w:rsidP="00074DBF">
      <w:pPr>
        <w:widowControl w:val="0"/>
        <w:spacing w:after="0" w:line="240" w:lineRule="auto"/>
        <w:jc w:val="both"/>
        <w:rPr>
          <w:rFonts w:ascii="Calibri" w:eastAsia="Times New Roman" w:hAnsi="Calibri" w:cs="Calibri"/>
          <w:b/>
          <w:sz w:val="20"/>
          <w:szCs w:val="20"/>
        </w:rPr>
      </w:pPr>
      <w:r w:rsidRPr="00074DBF">
        <w:rPr>
          <w:rFonts w:ascii="Calibri" w:eastAsia="Times New Roman" w:hAnsi="Calibri" w:cs="Calibri"/>
          <w:b/>
          <w:iCs/>
          <w:sz w:val="20"/>
          <w:szCs w:val="20"/>
        </w:rPr>
        <w:t>Report by Principal Supervisor</w:t>
      </w:r>
      <w:r w:rsidRPr="00074DBF">
        <w:rPr>
          <w:rFonts w:ascii="Calibri" w:eastAsia="Times New Roman" w:hAnsi="Calibri" w:cs="Calibri"/>
          <w:b/>
          <w:sz w:val="20"/>
          <w:szCs w:val="20"/>
        </w:rPr>
        <w:t xml:space="preserve"> </w:t>
      </w:r>
    </w:p>
    <w:p w:rsidR="00074DBF" w:rsidRPr="00074DBF" w:rsidRDefault="00074DBF" w:rsidP="00074DBF">
      <w:pPr>
        <w:widowControl w:val="0"/>
        <w:spacing w:after="0" w:line="240" w:lineRule="auto"/>
        <w:jc w:val="both"/>
        <w:rPr>
          <w:rFonts w:ascii="Calibri" w:eastAsia="Times New Roman" w:hAnsi="Calibri" w:cs="Calibri"/>
          <w:sz w:val="20"/>
          <w:szCs w:val="20"/>
        </w:rPr>
      </w:pPr>
      <w:r w:rsidRPr="00074DBF">
        <w:rPr>
          <w:rFonts w:ascii="Calibri" w:eastAsia="Times New Roman" w:hAnsi="Calibri" w:cs="Calibri"/>
          <w:sz w:val="20"/>
          <w:szCs w:val="20"/>
        </w:rPr>
        <w:t xml:space="preserve">A report from the Principal Supervisor on the student’s work will be submitted in advance of the </w:t>
      </w:r>
      <w:r w:rsidR="00A30610">
        <w:rPr>
          <w:rFonts w:ascii="Calibri" w:eastAsia="Times New Roman" w:hAnsi="Calibri" w:cs="Calibri"/>
          <w:sz w:val="20"/>
          <w:szCs w:val="20"/>
        </w:rPr>
        <w:t>transfer</w:t>
      </w:r>
      <w:r w:rsidRPr="00074DBF">
        <w:rPr>
          <w:rFonts w:ascii="Calibri" w:eastAsia="Times New Roman" w:hAnsi="Calibri" w:cs="Calibri"/>
          <w:sz w:val="20"/>
          <w:szCs w:val="20"/>
        </w:rPr>
        <w:t xml:space="preserve"> viva to the </w:t>
      </w:r>
      <w:r w:rsidR="00A30610">
        <w:rPr>
          <w:rFonts w:ascii="Calibri" w:eastAsia="Times New Roman" w:hAnsi="Calibri" w:cs="Calibri"/>
          <w:sz w:val="20"/>
          <w:szCs w:val="20"/>
        </w:rPr>
        <w:t>Transfer</w:t>
      </w:r>
      <w:r w:rsidRPr="00074DBF">
        <w:rPr>
          <w:rFonts w:ascii="Calibri" w:eastAsia="Times New Roman" w:hAnsi="Calibri" w:cs="Calibri"/>
          <w:sz w:val="20"/>
          <w:szCs w:val="20"/>
        </w:rPr>
        <w:t xml:space="preserve"> examination Panel and the Student. </w:t>
      </w:r>
    </w:p>
    <w:p w:rsidR="00074DBF" w:rsidRPr="00074DBF" w:rsidRDefault="00074DBF" w:rsidP="00074DBF">
      <w:pPr>
        <w:widowControl w:val="0"/>
        <w:spacing w:after="0" w:line="240" w:lineRule="auto"/>
        <w:jc w:val="both"/>
        <w:rPr>
          <w:rFonts w:ascii="Calibri" w:eastAsia="Times New Roman" w:hAnsi="Calibri" w:cs="Calibri"/>
          <w:sz w:val="20"/>
          <w:szCs w:val="20"/>
        </w:rPr>
      </w:pPr>
    </w:p>
    <w:p w:rsidR="00074DBF" w:rsidRPr="00074DBF" w:rsidRDefault="00074DBF" w:rsidP="00074DBF">
      <w:pPr>
        <w:widowControl w:val="0"/>
        <w:spacing w:after="0" w:line="240" w:lineRule="auto"/>
        <w:jc w:val="both"/>
        <w:rPr>
          <w:rFonts w:ascii="Calibri" w:eastAsia="Times New Roman" w:hAnsi="Calibri" w:cs="Calibri"/>
          <w:b/>
          <w:sz w:val="20"/>
          <w:szCs w:val="20"/>
        </w:rPr>
      </w:pPr>
      <w:r w:rsidRPr="00074DBF">
        <w:rPr>
          <w:rFonts w:ascii="Calibri" w:eastAsia="Times New Roman" w:hAnsi="Calibri" w:cs="Calibri"/>
          <w:b/>
          <w:iCs/>
          <w:sz w:val="20"/>
          <w:szCs w:val="20"/>
        </w:rPr>
        <w:lastRenderedPageBreak/>
        <w:t xml:space="preserve">The </w:t>
      </w:r>
      <w:r w:rsidR="00A30610">
        <w:rPr>
          <w:rFonts w:ascii="Calibri" w:eastAsia="Times New Roman" w:hAnsi="Calibri" w:cs="Calibri"/>
          <w:b/>
          <w:iCs/>
          <w:sz w:val="20"/>
          <w:szCs w:val="20"/>
        </w:rPr>
        <w:t>Transfer</w:t>
      </w:r>
      <w:r w:rsidRPr="00074DBF">
        <w:rPr>
          <w:rFonts w:ascii="Calibri" w:eastAsia="Times New Roman" w:hAnsi="Calibri" w:cs="Calibri"/>
          <w:b/>
          <w:iCs/>
          <w:sz w:val="20"/>
          <w:szCs w:val="20"/>
        </w:rPr>
        <w:t xml:space="preserve"> Viva</w:t>
      </w:r>
      <w:r w:rsidRPr="00074DBF">
        <w:rPr>
          <w:rFonts w:ascii="Calibri" w:eastAsia="Times New Roman" w:hAnsi="Calibri" w:cs="Calibri"/>
          <w:b/>
          <w:sz w:val="20"/>
          <w:szCs w:val="20"/>
        </w:rPr>
        <w:t xml:space="preserve"> </w:t>
      </w:r>
    </w:p>
    <w:p w:rsidR="00074DBF" w:rsidRPr="00074DBF" w:rsidRDefault="00074DBF" w:rsidP="00074DBF">
      <w:pPr>
        <w:widowControl w:val="0"/>
        <w:spacing w:after="0" w:line="240" w:lineRule="auto"/>
        <w:jc w:val="both"/>
        <w:rPr>
          <w:rFonts w:ascii="Calibri" w:eastAsia="Times New Roman" w:hAnsi="Calibri" w:cs="Calibri"/>
          <w:sz w:val="20"/>
          <w:szCs w:val="20"/>
        </w:rPr>
      </w:pPr>
      <w:r w:rsidRPr="00074DBF">
        <w:rPr>
          <w:rFonts w:ascii="Calibri" w:eastAsia="Times New Roman" w:hAnsi="Calibri" w:cs="Calibri"/>
          <w:sz w:val="20"/>
          <w:szCs w:val="20"/>
        </w:rPr>
        <w:t xml:space="preserve">The purpose of the viva is to ascertain, in conjunction with the student’s </w:t>
      </w:r>
      <w:r w:rsidR="00A30610">
        <w:rPr>
          <w:rFonts w:ascii="Calibri" w:eastAsia="Times New Roman" w:hAnsi="Calibri" w:cs="Calibri"/>
          <w:sz w:val="20"/>
          <w:szCs w:val="20"/>
        </w:rPr>
        <w:t>transfer</w:t>
      </w:r>
      <w:r w:rsidRPr="00074DBF">
        <w:rPr>
          <w:rFonts w:ascii="Calibri" w:eastAsia="Times New Roman" w:hAnsi="Calibri" w:cs="Calibri"/>
          <w:sz w:val="20"/>
          <w:szCs w:val="20"/>
        </w:rPr>
        <w:t xml:space="preserve"> report, the student’s seminar presentation and the report by the Principal Supervisor, that the criteria (see above) have been met. The viva should also be an opportunity for the student to discuss and defend his/her ideas. </w:t>
      </w:r>
    </w:p>
    <w:p w:rsidR="00074DBF" w:rsidRPr="00074DBF" w:rsidRDefault="00074DBF" w:rsidP="00074DBF">
      <w:pPr>
        <w:widowControl w:val="0"/>
        <w:spacing w:after="0" w:line="240" w:lineRule="auto"/>
        <w:jc w:val="both"/>
        <w:rPr>
          <w:rFonts w:ascii="Calibri" w:eastAsia="Times New Roman" w:hAnsi="Calibri" w:cs="Calibri"/>
          <w:sz w:val="20"/>
          <w:szCs w:val="20"/>
        </w:rPr>
      </w:pPr>
    </w:p>
    <w:p w:rsidR="00074DBF" w:rsidRPr="00074DBF" w:rsidRDefault="00074DBF" w:rsidP="00074DBF">
      <w:pPr>
        <w:widowControl w:val="0"/>
        <w:spacing w:after="0" w:line="240" w:lineRule="auto"/>
        <w:jc w:val="both"/>
        <w:rPr>
          <w:rFonts w:ascii="Calibri" w:eastAsia="Times New Roman" w:hAnsi="Calibri" w:cs="Calibri"/>
          <w:b/>
          <w:sz w:val="20"/>
          <w:szCs w:val="20"/>
        </w:rPr>
      </w:pPr>
      <w:r w:rsidRPr="00074DBF">
        <w:rPr>
          <w:rFonts w:ascii="Calibri" w:eastAsia="Times New Roman" w:hAnsi="Calibri" w:cs="Calibri"/>
          <w:b/>
          <w:sz w:val="20"/>
          <w:szCs w:val="20"/>
        </w:rPr>
        <w:t xml:space="preserve">The </w:t>
      </w:r>
      <w:r w:rsidR="00A30610">
        <w:rPr>
          <w:rFonts w:ascii="Calibri" w:eastAsia="Times New Roman" w:hAnsi="Calibri" w:cs="Calibri"/>
          <w:b/>
          <w:sz w:val="20"/>
          <w:szCs w:val="20"/>
        </w:rPr>
        <w:t>Transfer</w:t>
      </w:r>
      <w:r w:rsidRPr="00074DBF">
        <w:rPr>
          <w:rFonts w:ascii="Calibri" w:eastAsia="Times New Roman" w:hAnsi="Calibri" w:cs="Calibri"/>
          <w:b/>
          <w:sz w:val="20"/>
          <w:szCs w:val="20"/>
        </w:rPr>
        <w:t xml:space="preserve"> Examination Panel </w:t>
      </w:r>
    </w:p>
    <w:p w:rsidR="00074DBF" w:rsidRPr="00074DBF" w:rsidRDefault="00074DBF" w:rsidP="00074DBF">
      <w:pPr>
        <w:widowControl w:val="0"/>
        <w:numPr>
          <w:ilvl w:val="0"/>
          <w:numId w:val="3"/>
        </w:numPr>
        <w:spacing w:after="0" w:line="240" w:lineRule="auto"/>
        <w:ind w:left="360"/>
        <w:jc w:val="both"/>
        <w:rPr>
          <w:rFonts w:ascii="Calibri" w:eastAsia="Times New Roman" w:hAnsi="Calibri" w:cs="Calibri"/>
          <w:sz w:val="20"/>
          <w:szCs w:val="20"/>
        </w:rPr>
      </w:pPr>
      <w:r w:rsidRPr="00074DBF">
        <w:rPr>
          <w:rFonts w:ascii="Calibri" w:eastAsia="Times New Roman" w:hAnsi="Calibri" w:cs="Calibri"/>
          <w:sz w:val="20"/>
          <w:szCs w:val="20"/>
        </w:rPr>
        <w:t xml:space="preserve">The </w:t>
      </w:r>
      <w:r w:rsidR="00A30610">
        <w:rPr>
          <w:rFonts w:ascii="Calibri" w:eastAsia="Times New Roman" w:hAnsi="Calibri" w:cs="Calibri"/>
          <w:sz w:val="20"/>
          <w:szCs w:val="20"/>
        </w:rPr>
        <w:t>Transfer Panel</w:t>
      </w:r>
      <w:r w:rsidRPr="00074DBF">
        <w:rPr>
          <w:rFonts w:ascii="Calibri" w:eastAsia="Times New Roman" w:hAnsi="Calibri" w:cs="Calibri"/>
          <w:sz w:val="20"/>
          <w:szCs w:val="20"/>
        </w:rPr>
        <w:t xml:space="preserve"> should be made up of a minimum of two members of academic staff, including the student’s Subsidiary Supervisor(s) who normally chairs the </w:t>
      </w:r>
      <w:r w:rsidR="00A30610">
        <w:rPr>
          <w:rFonts w:ascii="Calibri" w:eastAsia="Times New Roman" w:hAnsi="Calibri" w:cs="Calibri"/>
          <w:sz w:val="20"/>
          <w:szCs w:val="20"/>
        </w:rPr>
        <w:t>Transfer</w:t>
      </w:r>
      <w:r w:rsidRPr="00074DBF">
        <w:rPr>
          <w:rFonts w:ascii="Calibri" w:eastAsia="Times New Roman" w:hAnsi="Calibri" w:cs="Calibri"/>
          <w:sz w:val="20"/>
          <w:szCs w:val="20"/>
        </w:rPr>
        <w:t xml:space="preserve"> Panel, and the additional external examiner. The Principal Supervisor should provide input via a written report but may not be a member of the Panel. </w:t>
      </w:r>
    </w:p>
    <w:p w:rsidR="00074DBF" w:rsidRPr="00074DBF" w:rsidRDefault="00074DBF" w:rsidP="00074DBF">
      <w:pPr>
        <w:widowControl w:val="0"/>
        <w:numPr>
          <w:ilvl w:val="0"/>
          <w:numId w:val="3"/>
        </w:numPr>
        <w:spacing w:after="0" w:line="240" w:lineRule="auto"/>
        <w:ind w:left="360"/>
        <w:jc w:val="both"/>
        <w:rPr>
          <w:rFonts w:ascii="Calibri" w:eastAsia="Times New Roman" w:hAnsi="Calibri" w:cs="Calibri"/>
          <w:sz w:val="20"/>
          <w:szCs w:val="20"/>
        </w:rPr>
      </w:pPr>
      <w:r w:rsidRPr="00074DBF">
        <w:rPr>
          <w:rFonts w:ascii="Calibri" w:eastAsia="Times New Roman" w:hAnsi="Calibri" w:cs="Calibri"/>
          <w:sz w:val="20"/>
          <w:szCs w:val="20"/>
        </w:rPr>
        <w:t xml:space="preserve">The primary supervisor will be invited to a post viva meeting where next steps for the conduct of the student’s research will be discussed. This ‘next steps’ meeting may be conducted immediately post viva. </w:t>
      </w:r>
    </w:p>
    <w:p w:rsidR="00074DBF" w:rsidRPr="00074DBF" w:rsidRDefault="00074DBF" w:rsidP="00074DBF">
      <w:pPr>
        <w:widowControl w:val="0"/>
        <w:numPr>
          <w:ilvl w:val="0"/>
          <w:numId w:val="3"/>
        </w:numPr>
        <w:spacing w:after="0" w:line="240" w:lineRule="auto"/>
        <w:ind w:left="360"/>
        <w:jc w:val="both"/>
        <w:rPr>
          <w:rFonts w:ascii="Calibri" w:eastAsia="Times New Roman" w:hAnsi="Calibri" w:cs="Calibri"/>
          <w:sz w:val="20"/>
          <w:szCs w:val="20"/>
        </w:rPr>
      </w:pPr>
      <w:r w:rsidRPr="00074DBF">
        <w:rPr>
          <w:rFonts w:ascii="Calibri" w:eastAsia="Times New Roman" w:hAnsi="Calibri" w:cs="Calibri"/>
          <w:sz w:val="20"/>
          <w:szCs w:val="20"/>
        </w:rPr>
        <w:t>The additional examiner should have an appropriate academic background and, in order of preference, should be external to University College London, external to the department, or external to the research group in which the student’s supervisors are located; The latter two of these options should only be pursued in exceptional circumstances, with an approach to an examiner from within the Department as a port of last call.</w:t>
      </w:r>
    </w:p>
    <w:p w:rsidR="00074DBF" w:rsidRPr="00074DBF" w:rsidRDefault="00074DBF" w:rsidP="00074DBF">
      <w:pPr>
        <w:widowControl w:val="0"/>
        <w:numPr>
          <w:ilvl w:val="0"/>
          <w:numId w:val="3"/>
        </w:numPr>
        <w:spacing w:after="0" w:line="240" w:lineRule="auto"/>
        <w:ind w:left="360"/>
        <w:jc w:val="both"/>
        <w:rPr>
          <w:rFonts w:ascii="Calibri" w:eastAsia="Times New Roman" w:hAnsi="Calibri" w:cs="Calibri"/>
          <w:sz w:val="20"/>
          <w:szCs w:val="20"/>
        </w:rPr>
      </w:pPr>
      <w:r w:rsidRPr="00074DBF">
        <w:rPr>
          <w:rFonts w:ascii="Calibri" w:eastAsia="Times New Roman" w:hAnsi="Calibri" w:cs="Calibri"/>
          <w:sz w:val="20"/>
          <w:szCs w:val="20"/>
        </w:rPr>
        <w:t xml:space="preserve">By virtue of having become involved in the PhD at the </w:t>
      </w:r>
      <w:r w:rsidR="00A30610">
        <w:rPr>
          <w:rFonts w:ascii="Calibri" w:eastAsia="Times New Roman" w:hAnsi="Calibri" w:cs="Calibri"/>
          <w:sz w:val="20"/>
          <w:szCs w:val="20"/>
        </w:rPr>
        <w:t>transfer</w:t>
      </w:r>
      <w:r w:rsidRPr="00074DBF">
        <w:rPr>
          <w:rFonts w:ascii="Calibri" w:eastAsia="Times New Roman" w:hAnsi="Calibri" w:cs="Calibri"/>
          <w:sz w:val="20"/>
          <w:szCs w:val="20"/>
        </w:rPr>
        <w:t xml:space="preserve"> stage, the additional examiner cannot conduct the final PhD examination;</w:t>
      </w:r>
    </w:p>
    <w:p w:rsidR="00074DBF" w:rsidRPr="00074DBF" w:rsidRDefault="00074DBF" w:rsidP="00074DBF">
      <w:pPr>
        <w:widowControl w:val="0"/>
        <w:numPr>
          <w:ilvl w:val="0"/>
          <w:numId w:val="3"/>
        </w:numPr>
        <w:spacing w:after="0" w:line="240" w:lineRule="auto"/>
        <w:ind w:left="360"/>
        <w:jc w:val="both"/>
        <w:rPr>
          <w:rFonts w:ascii="Calibri" w:eastAsia="Times New Roman" w:hAnsi="Calibri" w:cs="Calibri"/>
          <w:sz w:val="20"/>
          <w:szCs w:val="20"/>
        </w:rPr>
      </w:pPr>
      <w:r w:rsidRPr="00074DBF">
        <w:rPr>
          <w:rFonts w:ascii="Calibri" w:eastAsia="Times New Roman" w:hAnsi="Calibri" w:cs="Calibri"/>
          <w:sz w:val="20"/>
          <w:szCs w:val="20"/>
        </w:rPr>
        <w:t xml:space="preserve">The Departmental Graduate Tutor has final jurisdiction over the membership of the Panel, its constitution and any dispute between Panel Members. </w:t>
      </w:r>
    </w:p>
    <w:p w:rsidR="00074DBF" w:rsidRPr="00074DBF" w:rsidRDefault="00074DBF" w:rsidP="00074DBF">
      <w:pPr>
        <w:widowControl w:val="0"/>
        <w:numPr>
          <w:ilvl w:val="0"/>
          <w:numId w:val="3"/>
        </w:numPr>
        <w:spacing w:after="0" w:line="240" w:lineRule="auto"/>
        <w:ind w:left="360"/>
        <w:jc w:val="both"/>
        <w:rPr>
          <w:rFonts w:ascii="Calibri" w:eastAsia="Times New Roman" w:hAnsi="Calibri" w:cs="Calibri"/>
          <w:sz w:val="20"/>
          <w:szCs w:val="20"/>
        </w:rPr>
      </w:pPr>
      <w:r w:rsidRPr="00074DBF">
        <w:rPr>
          <w:rFonts w:ascii="Calibri" w:eastAsia="Times New Roman" w:hAnsi="Calibri" w:cs="Calibri"/>
          <w:sz w:val="20"/>
          <w:szCs w:val="20"/>
        </w:rPr>
        <w:t xml:space="preserve">The additional examiner is acting as a deputy of the Graduate Tutor(s) so should be approved by a sub-group of the teaching committee, consisting of Graduate Tutor(s) and Chair of the Committee, with authority delegated to Graduate Tutor(s). </w:t>
      </w:r>
    </w:p>
    <w:p w:rsidR="00074DBF" w:rsidRDefault="00074DBF" w:rsidP="00074DBF">
      <w:pPr>
        <w:widowControl w:val="0"/>
        <w:numPr>
          <w:ilvl w:val="0"/>
          <w:numId w:val="3"/>
        </w:numPr>
        <w:spacing w:after="0" w:line="240" w:lineRule="auto"/>
        <w:ind w:left="360"/>
        <w:jc w:val="both"/>
        <w:rPr>
          <w:rFonts w:ascii="Calibri" w:eastAsia="Times New Roman" w:hAnsi="Calibri" w:cs="Calibri"/>
          <w:sz w:val="20"/>
          <w:szCs w:val="20"/>
        </w:rPr>
      </w:pPr>
      <w:r w:rsidRPr="00074DBF">
        <w:rPr>
          <w:rFonts w:ascii="Calibri" w:eastAsia="Times New Roman" w:hAnsi="Calibri" w:cs="Calibri"/>
          <w:sz w:val="20"/>
          <w:szCs w:val="20"/>
        </w:rPr>
        <w:t xml:space="preserve">A written joint report on the outcome should be signed and submitted by the Chair of the </w:t>
      </w:r>
      <w:r w:rsidR="00A30610">
        <w:rPr>
          <w:rFonts w:ascii="Calibri" w:eastAsia="Times New Roman" w:hAnsi="Calibri" w:cs="Calibri"/>
          <w:sz w:val="20"/>
          <w:szCs w:val="20"/>
        </w:rPr>
        <w:t>Transfer</w:t>
      </w:r>
      <w:r w:rsidRPr="00074DBF">
        <w:rPr>
          <w:rFonts w:ascii="Calibri" w:eastAsia="Times New Roman" w:hAnsi="Calibri" w:cs="Calibri"/>
          <w:sz w:val="20"/>
          <w:szCs w:val="20"/>
        </w:rPr>
        <w:t xml:space="preserve"> Panel to the Departmental Graduate Tutor for signature. This report should be copied to the Student, Supervisors and the Head of Department. The student may request further oral feedback from the Panel. </w:t>
      </w:r>
    </w:p>
    <w:p w:rsidR="00074DBF" w:rsidRDefault="00074DBF" w:rsidP="00074DBF">
      <w:pPr>
        <w:widowControl w:val="0"/>
        <w:spacing w:after="0" w:line="240" w:lineRule="auto"/>
        <w:jc w:val="both"/>
        <w:rPr>
          <w:rFonts w:ascii="Calibri" w:eastAsia="Times New Roman" w:hAnsi="Calibri" w:cs="Calibri"/>
          <w:sz w:val="20"/>
          <w:szCs w:val="20"/>
        </w:rPr>
      </w:pPr>
    </w:p>
    <w:p w:rsidR="00074DBF" w:rsidRDefault="00074DBF" w:rsidP="00074DBF">
      <w:pPr>
        <w:widowControl w:val="0"/>
        <w:spacing w:after="0" w:line="240" w:lineRule="auto"/>
        <w:jc w:val="both"/>
        <w:rPr>
          <w:rFonts w:ascii="Calibri" w:eastAsia="Times New Roman" w:hAnsi="Calibri" w:cs="Calibri"/>
          <w:sz w:val="20"/>
          <w:szCs w:val="20"/>
        </w:rPr>
      </w:pPr>
    </w:p>
    <w:p w:rsidR="00074DBF" w:rsidRPr="00074DBF" w:rsidRDefault="00074DBF" w:rsidP="00074DBF">
      <w:pPr>
        <w:widowControl w:val="0"/>
        <w:spacing w:after="0" w:line="240" w:lineRule="auto"/>
        <w:jc w:val="both"/>
        <w:rPr>
          <w:rFonts w:ascii="Calibri" w:eastAsia="Times New Roman" w:hAnsi="Calibri" w:cs="Calibri"/>
          <w:sz w:val="28"/>
          <w:szCs w:val="28"/>
        </w:rPr>
      </w:pPr>
    </w:p>
    <w:sectPr w:rsidR="00074DBF" w:rsidRPr="00074D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3170F"/>
    <w:multiLevelType w:val="hybridMultilevel"/>
    <w:tmpl w:val="EA508470"/>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9BF1A5B"/>
    <w:multiLevelType w:val="hybridMultilevel"/>
    <w:tmpl w:val="B08EB444"/>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F73529D"/>
    <w:multiLevelType w:val="hybridMultilevel"/>
    <w:tmpl w:val="4E9876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DBF"/>
    <w:rsid w:val="00074DBF"/>
    <w:rsid w:val="00573315"/>
    <w:rsid w:val="00960FAB"/>
    <w:rsid w:val="00A306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E58F0649.dotm</Template>
  <TotalTime>15</TotalTime>
  <Pages>2</Pages>
  <Words>713</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FBS AISC</Company>
  <LinksUpToDate>false</LinksUpToDate>
  <CharactersWithSpaces>4772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dc:creator>
  <cp:lastModifiedBy>Annie</cp:lastModifiedBy>
  <cp:revision>2</cp:revision>
  <dcterms:created xsi:type="dcterms:W3CDTF">2012-07-13T09:05:00Z</dcterms:created>
  <dcterms:modified xsi:type="dcterms:W3CDTF">2012-07-23T14:33:00Z</dcterms:modified>
</cp:coreProperties>
</file>