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29C" w:rsidRPr="00A37B80" w:rsidRDefault="00A37B80">
      <w:pPr>
        <w:rPr>
          <w:b/>
          <w:u w:val="single"/>
        </w:rPr>
      </w:pPr>
      <w:bookmarkStart w:id="0" w:name="_GoBack"/>
      <w:bookmarkEnd w:id="0"/>
      <w:r w:rsidRPr="00A37B80">
        <w:rPr>
          <w:b/>
          <w:u w:val="single"/>
        </w:rPr>
        <w:t xml:space="preserve">Faculty of Brain Sciences: Equality and Diversity Plan </w:t>
      </w:r>
      <w:r>
        <w:rPr>
          <w:b/>
          <w:u w:val="single"/>
        </w:rPr>
        <w:t>2013/14</w:t>
      </w:r>
    </w:p>
    <w:p w:rsidR="00406283" w:rsidRDefault="00406283" w:rsidP="00406283">
      <w:pPr>
        <w:spacing w:after="0" w:line="240" w:lineRule="auto"/>
        <w:jc w:val="both"/>
        <w:rPr>
          <w:rFonts w:cs="Arial"/>
        </w:rPr>
      </w:pPr>
      <w:r>
        <w:rPr>
          <w:rFonts w:cs="Arial"/>
        </w:rPr>
        <w:t xml:space="preserve">The UCL White Paper and Faculty Strategy aim to </w:t>
      </w:r>
      <w:r w:rsidR="001F5CA1">
        <w:rPr>
          <w:rFonts w:cs="Arial"/>
        </w:rPr>
        <w:t xml:space="preserve">recruit </w:t>
      </w:r>
      <w:r>
        <w:t>a</w:t>
      </w:r>
      <w:r w:rsidRPr="0043110A">
        <w:rPr>
          <w:rFonts w:cstheme="minorHAnsi"/>
        </w:rPr>
        <w:t>ttrac</w:t>
      </w:r>
      <w:r w:rsidR="001F5CA1">
        <w:rPr>
          <w:rFonts w:cstheme="minorHAnsi"/>
        </w:rPr>
        <w:t>t</w:t>
      </w:r>
      <w:r w:rsidRPr="0043110A">
        <w:rPr>
          <w:rFonts w:cstheme="minorHAnsi"/>
        </w:rPr>
        <w:t>, reward and retain outstanding staff from diverse backgrounds</w:t>
      </w:r>
      <w:r>
        <w:rPr>
          <w:rFonts w:cstheme="minorHAnsi"/>
        </w:rPr>
        <w:t xml:space="preserve">. The Faculty Equality and Diversity Plan will be an important enabler of this </w:t>
      </w:r>
      <w:r>
        <w:rPr>
          <w:rFonts w:cs="Arial"/>
        </w:rPr>
        <w:t xml:space="preserve">key strategy goal and </w:t>
      </w:r>
      <w:r w:rsidR="00F63847">
        <w:rPr>
          <w:rFonts w:cs="Arial"/>
        </w:rPr>
        <w:t xml:space="preserve">cross references to the </w:t>
      </w:r>
      <w:r>
        <w:rPr>
          <w:rFonts w:cs="Arial"/>
        </w:rPr>
        <w:t>UCL Equality &amp; Diversity Strategy 2011-2014</w:t>
      </w:r>
      <w:r w:rsidR="00F63847">
        <w:rPr>
          <w:rFonts w:cs="Arial"/>
        </w:rPr>
        <w:t xml:space="preserve"> </w:t>
      </w:r>
      <w:hyperlink r:id="rId8" w:history="1">
        <w:r w:rsidR="00F63847" w:rsidRPr="00B55CFD">
          <w:rPr>
            <w:rStyle w:val="Hyperlink"/>
            <w:rFonts w:cstheme="minorHAnsi"/>
          </w:rPr>
          <w:t>http://www.ucl.ac.uk/hr/equalities/</w:t>
        </w:r>
      </w:hyperlink>
      <w:r w:rsidR="00F63847">
        <w:rPr>
          <w:rFonts w:cstheme="minorHAnsi"/>
        </w:rPr>
        <w:t>.</w:t>
      </w:r>
      <w:r>
        <w:rPr>
          <w:rFonts w:cs="Arial"/>
        </w:rPr>
        <w:t xml:space="preserve"> </w:t>
      </w:r>
    </w:p>
    <w:p w:rsidR="00406283" w:rsidRDefault="00406283" w:rsidP="00406283">
      <w:pPr>
        <w:spacing w:after="0" w:line="240" w:lineRule="auto"/>
        <w:jc w:val="both"/>
        <w:rPr>
          <w:rFonts w:cs="Arial"/>
        </w:rPr>
      </w:pPr>
    </w:p>
    <w:p w:rsidR="00406283" w:rsidRDefault="00406283" w:rsidP="00406283">
      <w:pPr>
        <w:spacing w:after="0" w:line="240" w:lineRule="auto"/>
        <w:jc w:val="both"/>
        <w:rPr>
          <w:rFonts w:cs="Arial"/>
        </w:rPr>
      </w:pPr>
      <w:r>
        <w:rPr>
          <w:rFonts w:cs="Arial"/>
        </w:rPr>
        <w:t xml:space="preserve">The </w:t>
      </w:r>
      <w:r w:rsidR="00D42B43">
        <w:rPr>
          <w:rFonts w:cs="Arial"/>
        </w:rPr>
        <w:t xml:space="preserve">high-level goals </w:t>
      </w:r>
      <w:r w:rsidR="00F63847">
        <w:rPr>
          <w:rFonts w:cs="Arial"/>
        </w:rPr>
        <w:t xml:space="preserve">of the Faculty </w:t>
      </w:r>
      <w:r w:rsidR="00D42B43">
        <w:rPr>
          <w:rFonts w:cs="Arial"/>
        </w:rPr>
        <w:t xml:space="preserve">Equality &amp; Diversity </w:t>
      </w:r>
      <w:r w:rsidR="00F63847">
        <w:rPr>
          <w:rFonts w:cs="Arial"/>
        </w:rPr>
        <w:t>Plan are:</w:t>
      </w:r>
    </w:p>
    <w:p w:rsidR="00406283" w:rsidRDefault="00406283" w:rsidP="00406283">
      <w:pPr>
        <w:spacing w:after="0" w:line="240" w:lineRule="auto"/>
        <w:jc w:val="both"/>
        <w:rPr>
          <w:rFonts w:cs="Arial"/>
        </w:rPr>
      </w:pPr>
    </w:p>
    <w:p w:rsidR="00F63847" w:rsidRPr="00F63847" w:rsidRDefault="00F63847" w:rsidP="00F63847">
      <w:pPr>
        <w:pStyle w:val="ListParagraph"/>
        <w:numPr>
          <w:ilvl w:val="0"/>
          <w:numId w:val="1"/>
        </w:numPr>
        <w:spacing w:after="0" w:line="240" w:lineRule="auto"/>
        <w:jc w:val="both"/>
        <w:rPr>
          <w:rFonts w:cs="Arial"/>
        </w:rPr>
      </w:pPr>
      <w:r>
        <w:rPr>
          <w:rFonts w:cs="Arial"/>
        </w:rPr>
        <w:t>D</w:t>
      </w:r>
      <w:r w:rsidR="00A37B80" w:rsidRPr="00F63847">
        <w:rPr>
          <w:rFonts w:cs="Arial"/>
        </w:rPr>
        <w:t>ecrease in equality professorial pay gap</w:t>
      </w:r>
    </w:p>
    <w:p w:rsidR="00F63847" w:rsidRPr="00F63847" w:rsidRDefault="00F63847" w:rsidP="00F63847">
      <w:pPr>
        <w:pStyle w:val="ListParagraph"/>
        <w:numPr>
          <w:ilvl w:val="0"/>
          <w:numId w:val="1"/>
        </w:numPr>
        <w:spacing w:after="0" w:line="240" w:lineRule="auto"/>
        <w:jc w:val="both"/>
      </w:pPr>
      <w:r>
        <w:rPr>
          <w:rFonts w:cs="Arial"/>
        </w:rPr>
        <w:t>I</w:t>
      </w:r>
      <w:r w:rsidR="00A37B80" w:rsidRPr="00F63847">
        <w:rPr>
          <w:rFonts w:cs="Arial"/>
        </w:rPr>
        <w:t>ncrease female representation on committees and boards</w:t>
      </w:r>
    </w:p>
    <w:p w:rsidR="00F63847" w:rsidRPr="00F63847" w:rsidRDefault="00F63847" w:rsidP="00F63847">
      <w:pPr>
        <w:pStyle w:val="ListParagraph"/>
        <w:numPr>
          <w:ilvl w:val="0"/>
          <w:numId w:val="1"/>
        </w:numPr>
        <w:spacing w:after="0" w:line="240" w:lineRule="auto"/>
        <w:jc w:val="both"/>
      </w:pPr>
      <w:r>
        <w:rPr>
          <w:rFonts w:cs="Arial"/>
        </w:rPr>
        <w:t xml:space="preserve">Obtain </w:t>
      </w:r>
      <w:r w:rsidR="00A37B80" w:rsidRPr="00F63847">
        <w:rPr>
          <w:rFonts w:cs="Arial"/>
        </w:rPr>
        <w:t>Athena SWAN status across Faculty</w:t>
      </w:r>
    </w:p>
    <w:p w:rsidR="00F63847" w:rsidRPr="00F63847" w:rsidRDefault="00D42B43" w:rsidP="00F63847">
      <w:pPr>
        <w:pStyle w:val="ListParagraph"/>
        <w:numPr>
          <w:ilvl w:val="0"/>
          <w:numId w:val="1"/>
        </w:numPr>
        <w:spacing w:after="0" w:line="240" w:lineRule="auto"/>
        <w:jc w:val="both"/>
      </w:pPr>
      <w:r>
        <w:rPr>
          <w:rFonts w:cs="Arial"/>
        </w:rPr>
        <w:t xml:space="preserve">Strengthen </w:t>
      </w:r>
      <w:r w:rsidR="00A37B80" w:rsidRPr="00F63847">
        <w:rPr>
          <w:rFonts w:cs="Arial"/>
        </w:rPr>
        <w:t>BME mentoring</w:t>
      </w:r>
    </w:p>
    <w:p w:rsidR="00F63847" w:rsidRPr="00F63847" w:rsidRDefault="00F63847" w:rsidP="00F63847">
      <w:pPr>
        <w:pStyle w:val="ListParagraph"/>
        <w:numPr>
          <w:ilvl w:val="0"/>
          <w:numId w:val="1"/>
        </w:numPr>
        <w:spacing w:after="0" w:line="240" w:lineRule="auto"/>
        <w:jc w:val="both"/>
      </w:pPr>
      <w:r>
        <w:rPr>
          <w:rFonts w:cs="Arial"/>
        </w:rPr>
        <w:t>S</w:t>
      </w:r>
      <w:r w:rsidR="00A37B80" w:rsidRPr="00F63847">
        <w:rPr>
          <w:rFonts w:cs="Arial"/>
        </w:rPr>
        <w:t xml:space="preserve">tudent recruitment </w:t>
      </w:r>
      <w:r w:rsidR="00D42B43">
        <w:rPr>
          <w:rFonts w:cs="Arial"/>
        </w:rPr>
        <w:t xml:space="preserve">and support </w:t>
      </w:r>
      <w:r w:rsidR="00A37B80" w:rsidRPr="00F63847">
        <w:rPr>
          <w:rFonts w:cs="Arial"/>
        </w:rPr>
        <w:t xml:space="preserve">initiatives </w:t>
      </w:r>
    </w:p>
    <w:p w:rsidR="00A37B80" w:rsidRDefault="00F63847" w:rsidP="00F63847">
      <w:pPr>
        <w:pStyle w:val="ListParagraph"/>
        <w:numPr>
          <w:ilvl w:val="0"/>
          <w:numId w:val="1"/>
        </w:numPr>
        <w:spacing w:after="0" w:line="240" w:lineRule="auto"/>
        <w:jc w:val="both"/>
      </w:pPr>
      <w:r>
        <w:rPr>
          <w:rFonts w:cs="Arial"/>
        </w:rPr>
        <w:t>I</w:t>
      </w:r>
      <w:r w:rsidR="00A37B80" w:rsidRPr="00F63847">
        <w:rPr>
          <w:rFonts w:cs="Arial"/>
        </w:rPr>
        <w:t>mprovement on key E&amp;D targets.</w:t>
      </w:r>
    </w:p>
    <w:p w:rsidR="001F5CA1" w:rsidRDefault="001F5CA1" w:rsidP="00406283">
      <w:pPr>
        <w:spacing w:after="0" w:line="240" w:lineRule="auto"/>
        <w:jc w:val="both"/>
      </w:pPr>
    </w:p>
    <w:p w:rsidR="00406283" w:rsidRDefault="001F5CA1" w:rsidP="00406283">
      <w:pPr>
        <w:spacing w:after="0" w:line="240" w:lineRule="auto"/>
        <w:jc w:val="both"/>
      </w:pPr>
      <w:r>
        <w:t xml:space="preserve">The key plans and actions for the coming period are set out below. </w:t>
      </w:r>
    </w:p>
    <w:p w:rsidR="001F5CA1" w:rsidRDefault="001F5CA1" w:rsidP="00406283">
      <w:pPr>
        <w:spacing w:after="0" w:line="240" w:lineRule="auto"/>
        <w:jc w:val="both"/>
      </w:pPr>
    </w:p>
    <w:p w:rsidR="001F5CA1" w:rsidRPr="001F5CA1" w:rsidRDefault="001F5CA1" w:rsidP="00406283">
      <w:pPr>
        <w:spacing w:after="0" w:line="240" w:lineRule="auto"/>
        <w:jc w:val="both"/>
        <w:rPr>
          <w:b/>
        </w:rPr>
      </w:pPr>
      <w:r w:rsidRPr="001F5CA1">
        <w:rPr>
          <w:b/>
        </w:rPr>
        <w:t>Leadership on Equality &amp; Diversity</w:t>
      </w:r>
    </w:p>
    <w:p w:rsidR="001F5CA1" w:rsidRDefault="001F5CA1" w:rsidP="00406283">
      <w:pPr>
        <w:spacing w:after="0" w:line="240" w:lineRule="auto"/>
        <w:jc w:val="both"/>
      </w:pPr>
    </w:p>
    <w:p w:rsidR="0020361E" w:rsidRPr="0020361E" w:rsidRDefault="0020361E" w:rsidP="00406283">
      <w:pPr>
        <w:spacing w:after="0" w:line="240" w:lineRule="auto"/>
        <w:jc w:val="both"/>
      </w:pPr>
      <w:r w:rsidRPr="0020361E">
        <w:t xml:space="preserve">The Dean, </w:t>
      </w:r>
      <w:r w:rsidR="001F5CA1">
        <w:t xml:space="preserve">Directors, </w:t>
      </w:r>
      <w:r w:rsidRPr="0020361E">
        <w:t>Deputy Head of School</w:t>
      </w:r>
      <w:r>
        <w:t xml:space="preserve">, </w:t>
      </w:r>
      <w:r w:rsidRPr="0020361E">
        <w:t xml:space="preserve">Faculty Manager </w:t>
      </w:r>
      <w:r>
        <w:t xml:space="preserve">and Faculty Tutors </w:t>
      </w:r>
      <w:r w:rsidRPr="0020361E">
        <w:t xml:space="preserve">seek to provide </w:t>
      </w:r>
      <w:r w:rsidRPr="0020361E">
        <w:rPr>
          <w:rFonts w:cstheme="minorHAnsi"/>
        </w:rPr>
        <w:t>firm, visible and pro-active leadership and commitment on equalities and diversity</w:t>
      </w:r>
      <w:r>
        <w:rPr>
          <w:rFonts w:cstheme="minorHAnsi"/>
        </w:rPr>
        <w:t>, and to encourage other members of the Faculty Executive Team to act as champions for their particular constituencies</w:t>
      </w:r>
      <w:r w:rsidRPr="0020361E">
        <w:rPr>
          <w:rFonts w:cstheme="minorHAnsi"/>
        </w:rPr>
        <w:t xml:space="preserve">. </w:t>
      </w:r>
    </w:p>
    <w:p w:rsidR="0020361E" w:rsidRDefault="0020361E" w:rsidP="00406283">
      <w:pPr>
        <w:spacing w:after="0" w:line="240" w:lineRule="auto"/>
        <w:jc w:val="both"/>
      </w:pPr>
    </w:p>
    <w:p w:rsidR="00450AFB" w:rsidRDefault="00450AFB" w:rsidP="00450AFB">
      <w:pPr>
        <w:spacing w:after="0" w:line="240" w:lineRule="auto"/>
        <w:jc w:val="both"/>
      </w:pPr>
      <w:r>
        <w:t xml:space="preserve">The Faculty Equality and Diversity Plan </w:t>
      </w:r>
      <w:proofErr w:type="gramStart"/>
      <w:r w:rsidR="00D42B43">
        <w:t>was</w:t>
      </w:r>
      <w:proofErr w:type="gramEnd"/>
      <w:r w:rsidR="00D42B43">
        <w:t xml:space="preserve"> </w:t>
      </w:r>
      <w:r>
        <w:t>discussed at the Faculty Executive twice during May 2013</w:t>
      </w:r>
      <w:r w:rsidR="00D42B43">
        <w:t xml:space="preserve">. There </w:t>
      </w:r>
      <w:r>
        <w:t xml:space="preserve">is excellent stakeholder commitment to the goals and initiatives. </w:t>
      </w:r>
    </w:p>
    <w:p w:rsidR="00450AFB" w:rsidRDefault="00450AFB" w:rsidP="00406283">
      <w:pPr>
        <w:spacing w:after="0" w:line="240" w:lineRule="auto"/>
        <w:jc w:val="both"/>
      </w:pPr>
    </w:p>
    <w:p w:rsidR="003344CF" w:rsidRDefault="003344CF" w:rsidP="0020361E">
      <w:pPr>
        <w:pStyle w:val="BodyText"/>
        <w:jc w:val="left"/>
        <w:rPr>
          <w:rFonts w:asciiTheme="minorHAnsi" w:hAnsiTheme="minorHAnsi" w:cstheme="minorHAnsi"/>
          <w:sz w:val="22"/>
          <w:szCs w:val="22"/>
        </w:rPr>
      </w:pPr>
      <w:r w:rsidRPr="003344CF">
        <w:rPr>
          <w:rFonts w:asciiTheme="minorHAnsi" w:hAnsiTheme="minorHAnsi"/>
          <w:b/>
          <w:i/>
          <w:sz w:val="22"/>
          <w:szCs w:val="22"/>
        </w:rPr>
        <w:t>Objective</w:t>
      </w:r>
      <w:r w:rsidRPr="003344CF">
        <w:rPr>
          <w:rFonts w:asciiTheme="minorHAnsi" w:hAnsiTheme="minorHAnsi"/>
          <w:sz w:val="22"/>
          <w:szCs w:val="22"/>
        </w:rPr>
        <w:t>:</w:t>
      </w:r>
      <w:r>
        <w:t xml:space="preserve"> </w:t>
      </w:r>
      <w:r w:rsidR="0020361E">
        <w:rPr>
          <w:rFonts w:asciiTheme="minorHAnsi" w:hAnsiTheme="minorHAnsi" w:cstheme="minorHAnsi"/>
          <w:sz w:val="22"/>
          <w:szCs w:val="22"/>
        </w:rPr>
        <w:t xml:space="preserve">The Faculty will </w:t>
      </w:r>
      <w:r>
        <w:rPr>
          <w:rFonts w:asciiTheme="minorHAnsi" w:hAnsiTheme="minorHAnsi" w:cstheme="minorHAnsi"/>
          <w:sz w:val="22"/>
          <w:szCs w:val="22"/>
        </w:rPr>
        <w:t>raise the profile of Equality and Diversity issues by:</w:t>
      </w:r>
    </w:p>
    <w:p w:rsidR="00D42B43" w:rsidRDefault="00D42B43" w:rsidP="0020361E">
      <w:pPr>
        <w:pStyle w:val="BodyText"/>
        <w:jc w:val="left"/>
        <w:rPr>
          <w:rFonts w:asciiTheme="minorHAnsi" w:hAnsiTheme="minorHAnsi" w:cstheme="minorHAnsi"/>
          <w:sz w:val="22"/>
          <w:szCs w:val="22"/>
        </w:rPr>
      </w:pPr>
    </w:p>
    <w:p w:rsidR="0020361E" w:rsidRDefault="0020361E" w:rsidP="003344CF">
      <w:pPr>
        <w:pStyle w:val="BodyText"/>
        <w:numPr>
          <w:ilvl w:val="0"/>
          <w:numId w:val="6"/>
        </w:numPr>
        <w:jc w:val="left"/>
        <w:rPr>
          <w:rFonts w:asciiTheme="minorHAnsi" w:hAnsiTheme="minorHAnsi" w:cstheme="minorHAnsi"/>
          <w:sz w:val="22"/>
          <w:szCs w:val="22"/>
        </w:rPr>
      </w:pPr>
      <w:r>
        <w:rPr>
          <w:rFonts w:asciiTheme="minorHAnsi" w:hAnsiTheme="minorHAnsi" w:cstheme="minorHAnsi"/>
          <w:sz w:val="22"/>
          <w:szCs w:val="22"/>
        </w:rPr>
        <w:t>promot</w:t>
      </w:r>
      <w:r w:rsidR="003344CF">
        <w:rPr>
          <w:rFonts w:asciiTheme="minorHAnsi" w:hAnsiTheme="minorHAnsi" w:cstheme="minorHAnsi"/>
          <w:sz w:val="22"/>
          <w:szCs w:val="22"/>
        </w:rPr>
        <w:t>ing</w:t>
      </w:r>
      <w:r>
        <w:rPr>
          <w:rFonts w:asciiTheme="minorHAnsi" w:hAnsiTheme="minorHAnsi" w:cstheme="minorHAnsi"/>
          <w:sz w:val="22"/>
          <w:szCs w:val="22"/>
        </w:rPr>
        <w:t xml:space="preserve"> </w:t>
      </w:r>
      <w:r w:rsidRPr="003E7C65">
        <w:rPr>
          <w:rFonts w:asciiTheme="minorHAnsi" w:hAnsiTheme="minorHAnsi" w:cstheme="minorHAnsi"/>
          <w:sz w:val="22"/>
          <w:szCs w:val="22"/>
        </w:rPr>
        <w:t>equalities and diversity training</w:t>
      </w:r>
      <w:r w:rsidR="003344CF">
        <w:rPr>
          <w:rFonts w:asciiTheme="minorHAnsi" w:hAnsiTheme="minorHAnsi" w:cstheme="minorHAnsi"/>
          <w:sz w:val="22"/>
          <w:szCs w:val="22"/>
        </w:rPr>
        <w:t>,</w:t>
      </w:r>
      <w:r w:rsidRPr="003E7C65">
        <w:rPr>
          <w:rFonts w:asciiTheme="minorHAnsi" w:hAnsiTheme="minorHAnsi" w:cstheme="minorHAnsi"/>
          <w:sz w:val="22"/>
          <w:szCs w:val="22"/>
        </w:rPr>
        <w:t xml:space="preserve"> </w:t>
      </w:r>
      <w:r>
        <w:rPr>
          <w:rFonts w:asciiTheme="minorHAnsi" w:hAnsiTheme="minorHAnsi" w:cstheme="minorHAnsi"/>
          <w:sz w:val="22"/>
          <w:szCs w:val="22"/>
        </w:rPr>
        <w:t>events</w:t>
      </w:r>
      <w:r w:rsidR="003344CF">
        <w:rPr>
          <w:rFonts w:asciiTheme="minorHAnsi" w:hAnsiTheme="minorHAnsi" w:cstheme="minorHAnsi"/>
          <w:sz w:val="22"/>
          <w:szCs w:val="22"/>
        </w:rPr>
        <w:t xml:space="preserve">, initiatives and achievements </w:t>
      </w:r>
      <w:r w:rsidR="00006261">
        <w:rPr>
          <w:rFonts w:asciiTheme="minorHAnsi" w:hAnsiTheme="minorHAnsi" w:cstheme="minorHAnsi"/>
          <w:sz w:val="22"/>
          <w:szCs w:val="22"/>
        </w:rPr>
        <w:t xml:space="preserve">(e.g. remind </w:t>
      </w:r>
      <w:r w:rsidR="00006261" w:rsidRPr="00006261">
        <w:rPr>
          <w:rFonts w:asciiTheme="minorHAnsi" w:hAnsiTheme="minorHAnsi" w:cstheme="minorHAnsi"/>
          <w:sz w:val="22"/>
          <w:szCs w:val="22"/>
        </w:rPr>
        <w:t>staff who have been in post for longer than 5 years undertake the updated online E&amp;D training)</w:t>
      </w:r>
    </w:p>
    <w:p w:rsidR="003344CF" w:rsidRDefault="003344CF" w:rsidP="003344CF">
      <w:pPr>
        <w:pStyle w:val="ListParagraph"/>
        <w:numPr>
          <w:ilvl w:val="0"/>
          <w:numId w:val="6"/>
        </w:numPr>
        <w:spacing w:after="0" w:line="240" w:lineRule="auto"/>
        <w:jc w:val="both"/>
      </w:pPr>
      <w:proofErr w:type="gramStart"/>
      <w:r>
        <w:t>u</w:t>
      </w:r>
      <w:r w:rsidR="00EF43C7">
        <w:t>se</w:t>
      </w:r>
      <w:proofErr w:type="gramEnd"/>
      <w:r w:rsidR="00EF43C7">
        <w:t xml:space="preserve"> of “What’s it got to do with me” style communication will be used to highlight the need for better engagement within the faculty community.</w:t>
      </w:r>
    </w:p>
    <w:p w:rsidR="003344CF" w:rsidRDefault="003344CF" w:rsidP="003344CF">
      <w:pPr>
        <w:spacing w:after="0" w:line="240" w:lineRule="auto"/>
        <w:jc w:val="both"/>
        <w:rPr>
          <w:rFonts w:cs="Arial"/>
        </w:rPr>
      </w:pPr>
    </w:p>
    <w:p w:rsidR="003344CF" w:rsidRDefault="003344CF" w:rsidP="003344CF">
      <w:pPr>
        <w:spacing w:after="0" w:line="240" w:lineRule="auto"/>
        <w:jc w:val="both"/>
      </w:pPr>
      <w:r>
        <w:rPr>
          <w:rFonts w:cs="Arial"/>
          <w:i/>
        </w:rPr>
        <w:t>R</w:t>
      </w:r>
      <w:r w:rsidRPr="003344CF">
        <w:rPr>
          <w:rFonts w:cs="Arial"/>
          <w:i/>
        </w:rPr>
        <w:t>esponsibility:</w:t>
      </w:r>
      <w:r>
        <w:rPr>
          <w:rFonts w:cs="Arial"/>
        </w:rPr>
        <w:t xml:space="preserve"> Dean / Faculty Manager by July 2014</w:t>
      </w:r>
    </w:p>
    <w:p w:rsidR="0020361E" w:rsidRDefault="0020361E" w:rsidP="00406283">
      <w:pPr>
        <w:spacing w:after="0" w:line="240" w:lineRule="auto"/>
        <w:jc w:val="both"/>
      </w:pPr>
    </w:p>
    <w:p w:rsidR="00F63847" w:rsidRPr="00F63847" w:rsidRDefault="00F63847" w:rsidP="00F63847">
      <w:pPr>
        <w:spacing w:after="0" w:line="240" w:lineRule="auto"/>
        <w:jc w:val="both"/>
        <w:rPr>
          <w:rFonts w:cs="Arial"/>
          <w:b/>
        </w:rPr>
      </w:pPr>
      <w:r w:rsidRPr="00F63847">
        <w:rPr>
          <w:rFonts w:cs="Arial"/>
          <w:b/>
        </w:rPr>
        <w:t xml:space="preserve">Decrease in equality professorial </w:t>
      </w:r>
      <w:r w:rsidR="0027649E">
        <w:rPr>
          <w:rFonts w:cs="Arial"/>
          <w:b/>
        </w:rPr>
        <w:t xml:space="preserve">gender </w:t>
      </w:r>
      <w:r w:rsidRPr="00F63847">
        <w:rPr>
          <w:rFonts w:cs="Arial"/>
          <w:b/>
        </w:rPr>
        <w:t>pay gap</w:t>
      </w:r>
    </w:p>
    <w:p w:rsidR="00F63847" w:rsidRDefault="00F63847" w:rsidP="00F63847">
      <w:pPr>
        <w:spacing w:after="0" w:line="240" w:lineRule="auto"/>
        <w:jc w:val="both"/>
        <w:rPr>
          <w:rFonts w:cs="Arial"/>
        </w:rPr>
      </w:pPr>
    </w:p>
    <w:p w:rsidR="0027649E" w:rsidRDefault="00181CC6" w:rsidP="00F63847">
      <w:pPr>
        <w:spacing w:after="0" w:line="240" w:lineRule="auto"/>
        <w:jc w:val="both"/>
        <w:rPr>
          <w:rFonts w:cs="Arial"/>
        </w:rPr>
      </w:pPr>
      <w:r>
        <w:rPr>
          <w:rFonts w:cs="Arial"/>
        </w:rPr>
        <w:t xml:space="preserve">The Faculty will seek to reduce the equality professorial </w:t>
      </w:r>
      <w:r w:rsidR="001F5CA1">
        <w:rPr>
          <w:rFonts w:cs="Arial"/>
        </w:rPr>
        <w:t xml:space="preserve">pay </w:t>
      </w:r>
      <w:r>
        <w:rPr>
          <w:rFonts w:cs="Arial"/>
        </w:rPr>
        <w:t>gap year on year through targeted use of the pay-banding and pay reward schemes</w:t>
      </w:r>
      <w:r w:rsidR="00074578">
        <w:rPr>
          <w:rFonts w:cs="Arial"/>
        </w:rPr>
        <w:t xml:space="preserve">. The </w:t>
      </w:r>
      <w:r w:rsidR="001F5CA1">
        <w:rPr>
          <w:rFonts w:cs="Arial"/>
        </w:rPr>
        <w:t xml:space="preserve">latest </w:t>
      </w:r>
      <w:r w:rsidR="00074578">
        <w:rPr>
          <w:rFonts w:cs="Arial"/>
        </w:rPr>
        <w:t>HRPC report</w:t>
      </w:r>
      <w:r w:rsidR="003A356D">
        <w:rPr>
          <w:rFonts w:cs="Arial"/>
        </w:rPr>
        <w:t xml:space="preserve"> confirms </w:t>
      </w:r>
      <w:r w:rsidR="001F5CA1">
        <w:rPr>
          <w:rFonts w:cs="Arial"/>
        </w:rPr>
        <w:t xml:space="preserve">a </w:t>
      </w:r>
      <w:r w:rsidR="003A356D">
        <w:rPr>
          <w:rFonts w:cs="Arial"/>
        </w:rPr>
        <w:t>3.7</w:t>
      </w:r>
      <w:r w:rsidR="00074578">
        <w:rPr>
          <w:rFonts w:cs="Arial"/>
        </w:rPr>
        <w:t>% reduction in the non-clinical professorial pay gap was achieved in 2012</w:t>
      </w:r>
      <w:r w:rsidR="001F5CA1">
        <w:rPr>
          <w:rFonts w:cs="Arial"/>
        </w:rPr>
        <w:t>,</w:t>
      </w:r>
      <w:r w:rsidR="00696C3D">
        <w:rPr>
          <w:rFonts w:cs="Arial"/>
        </w:rPr>
        <w:t xml:space="preserve"> down from 18.2% to 14.5%</w:t>
      </w:r>
      <w:r w:rsidR="00074578">
        <w:rPr>
          <w:rFonts w:cs="Arial"/>
        </w:rPr>
        <w:t xml:space="preserve">. </w:t>
      </w:r>
    </w:p>
    <w:p w:rsidR="0027649E" w:rsidRDefault="0027649E" w:rsidP="00F63847">
      <w:pPr>
        <w:spacing w:after="0" w:line="240" w:lineRule="auto"/>
        <w:jc w:val="both"/>
        <w:rPr>
          <w:rFonts w:cs="Arial"/>
        </w:rPr>
      </w:pPr>
    </w:p>
    <w:p w:rsidR="0027649E" w:rsidRDefault="00074578" w:rsidP="00F63847">
      <w:pPr>
        <w:spacing w:after="0" w:line="240" w:lineRule="auto"/>
        <w:jc w:val="both"/>
        <w:rPr>
          <w:rFonts w:cs="Arial"/>
        </w:rPr>
      </w:pPr>
      <w:r>
        <w:rPr>
          <w:rFonts w:cs="Arial"/>
        </w:rPr>
        <w:t xml:space="preserve">There is a known </w:t>
      </w:r>
      <w:r w:rsidR="0027649E">
        <w:rPr>
          <w:rFonts w:cs="Arial"/>
        </w:rPr>
        <w:t xml:space="preserve">pay </w:t>
      </w:r>
      <w:r>
        <w:rPr>
          <w:rFonts w:cs="Arial"/>
        </w:rPr>
        <w:t xml:space="preserve">bias </w:t>
      </w:r>
      <w:r w:rsidR="00E27CF0">
        <w:rPr>
          <w:rFonts w:cs="Arial"/>
        </w:rPr>
        <w:t xml:space="preserve">which relates </w:t>
      </w:r>
      <w:r>
        <w:rPr>
          <w:rFonts w:cs="Arial"/>
        </w:rPr>
        <w:t xml:space="preserve">to </w:t>
      </w:r>
      <w:r w:rsidR="00E27CF0">
        <w:rPr>
          <w:rFonts w:cs="Arial"/>
        </w:rPr>
        <w:t xml:space="preserve">the historic proportion </w:t>
      </w:r>
      <w:r>
        <w:rPr>
          <w:rFonts w:cs="Arial"/>
        </w:rPr>
        <w:t xml:space="preserve">male </w:t>
      </w:r>
      <w:r w:rsidR="001F5CA1">
        <w:rPr>
          <w:rFonts w:cs="Arial"/>
        </w:rPr>
        <w:t xml:space="preserve">professorial </w:t>
      </w:r>
      <w:r>
        <w:rPr>
          <w:rFonts w:cs="Arial"/>
        </w:rPr>
        <w:t xml:space="preserve">staff </w:t>
      </w:r>
      <w:proofErr w:type="gramStart"/>
      <w:r w:rsidR="00E27CF0">
        <w:rPr>
          <w:rFonts w:cs="Arial"/>
        </w:rPr>
        <w:t>who</w:t>
      </w:r>
      <w:proofErr w:type="gramEnd"/>
      <w:r w:rsidR="00E27CF0">
        <w:rPr>
          <w:rFonts w:cs="Arial"/>
        </w:rPr>
        <w:t xml:space="preserve"> </w:t>
      </w:r>
      <w:r w:rsidR="001F5CA1">
        <w:rPr>
          <w:rFonts w:cs="Arial"/>
        </w:rPr>
        <w:t xml:space="preserve">currently </w:t>
      </w:r>
      <w:r w:rsidR="00E27CF0">
        <w:rPr>
          <w:rFonts w:cs="Arial"/>
        </w:rPr>
        <w:t xml:space="preserve">hold, or have </w:t>
      </w:r>
      <w:r>
        <w:rPr>
          <w:rFonts w:cs="Arial"/>
        </w:rPr>
        <w:t>undertak</w:t>
      </w:r>
      <w:r w:rsidR="00E27CF0">
        <w:rPr>
          <w:rFonts w:cs="Arial"/>
        </w:rPr>
        <w:t>en,</w:t>
      </w:r>
      <w:r>
        <w:rPr>
          <w:rFonts w:cs="Arial"/>
        </w:rPr>
        <w:t xml:space="preserve"> leadership roles</w:t>
      </w:r>
      <w:r w:rsidR="00E27CF0">
        <w:rPr>
          <w:rFonts w:cs="Arial"/>
        </w:rPr>
        <w:t xml:space="preserve"> in the faculty</w:t>
      </w:r>
      <w:r w:rsidR="00181CC6">
        <w:rPr>
          <w:rFonts w:cs="Arial"/>
        </w:rPr>
        <w:t xml:space="preserve">. </w:t>
      </w:r>
      <w:r w:rsidR="001F5CA1">
        <w:rPr>
          <w:rFonts w:cs="Arial"/>
        </w:rPr>
        <w:t xml:space="preserve">Increasing the proportion of female professorial staff in senior leadership roles is therefore a priority. </w:t>
      </w:r>
      <w:r w:rsidR="0027649E">
        <w:rPr>
          <w:rFonts w:cs="Arial"/>
        </w:rPr>
        <w:t xml:space="preserve">It </w:t>
      </w:r>
      <w:r w:rsidR="001F5CA1">
        <w:rPr>
          <w:rFonts w:cs="Arial"/>
        </w:rPr>
        <w:t xml:space="preserve">has also been </w:t>
      </w:r>
      <w:r w:rsidR="0027649E">
        <w:rPr>
          <w:rFonts w:cs="Arial"/>
        </w:rPr>
        <w:t>n</w:t>
      </w:r>
      <w:r>
        <w:rPr>
          <w:rFonts w:cs="Arial"/>
        </w:rPr>
        <w:t>ote</w:t>
      </w:r>
      <w:r w:rsidR="0027649E">
        <w:rPr>
          <w:rFonts w:cs="Arial"/>
        </w:rPr>
        <w:t>d that m</w:t>
      </w:r>
      <w:r>
        <w:rPr>
          <w:rFonts w:cs="Arial"/>
        </w:rPr>
        <w:t>arket supplements were 3 times more likely to be used for male rather than female staff.</w:t>
      </w:r>
    </w:p>
    <w:p w:rsidR="0027649E" w:rsidRDefault="0027649E" w:rsidP="00F63847">
      <w:pPr>
        <w:spacing w:after="0" w:line="240" w:lineRule="auto"/>
        <w:jc w:val="both"/>
        <w:rPr>
          <w:rFonts w:cs="Arial"/>
        </w:rPr>
      </w:pPr>
    </w:p>
    <w:p w:rsidR="003344CF" w:rsidRDefault="003344CF" w:rsidP="00F63847">
      <w:pPr>
        <w:spacing w:after="0" w:line="240" w:lineRule="auto"/>
        <w:jc w:val="both"/>
        <w:rPr>
          <w:rFonts w:cs="Arial"/>
        </w:rPr>
      </w:pPr>
      <w:r w:rsidRPr="003344CF">
        <w:rPr>
          <w:rFonts w:cs="Arial"/>
          <w:b/>
          <w:i/>
        </w:rPr>
        <w:t>Objective:</w:t>
      </w:r>
      <w:r>
        <w:rPr>
          <w:rFonts w:cs="Arial"/>
        </w:rPr>
        <w:t xml:space="preserve">  The 2013/14 professorial re-banding and reward cycle will focus on addressing pay gap issues relative to performance. </w:t>
      </w:r>
      <w:r w:rsidR="0027649E">
        <w:rPr>
          <w:rFonts w:cs="Arial"/>
        </w:rPr>
        <w:t xml:space="preserve">The </w:t>
      </w:r>
      <w:r w:rsidR="00A8099D">
        <w:rPr>
          <w:rFonts w:cs="Arial"/>
        </w:rPr>
        <w:t xml:space="preserve">Faculty will </w:t>
      </w:r>
      <w:r w:rsidR="0027649E">
        <w:rPr>
          <w:rFonts w:cs="Arial"/>
        </w:rPr>
        <w:t xml:space="preserve">implement annual appraisal </w:t>
      </w:r>
      <w:r w:rsidR="00A8099D">
        <w:rPr>
          <w:rFonts w:cs="Arial"/>
        </w:rPr>
        <w:t xml:space="preserve">linked to professorial </w:t>
      </w:r>
      <w:r w:rsidR="00A8099D">
        <w:rPr>
          <w:rFonts w:cs="Arial"/>
        </w:rPr>
        <w:lastRenderedPageBreak/>
        <w:t xml:space="preserve">pay review. This </w:t>
      </w:r>
      <w:r w:rsidR="0027649E">
        <w:rPr>
          <w:rFonts w:cs="Arial"/>
        </w:rPr>
        <w:t xml:space="preserve">will ensure </w:t>
      </w:r>
      <w:r w:rsidR="00A8099D">
        <w:rPr>
          <w:rFonts w:cs="Arial"/>
        </w:rPr>
        <w:t xml:space="preserve">that </w:t>
      </w:r>
      <w:r w:rsidR="0027649E">
        <w:rPr>
          <w:rFonts w:cs="Arial"/>
        </w:rPr>
        <w:t xml:space="preserve">all staff </w:t>
      </w:r>
      <w:proofErr w:type="gramStart"/>
      <w:r w:rsidR="0027649E">
        <w:rPr>
          <w:rFonts w:cs="Arial"/>
        </w:rPr>
        <w:t>are</w:t>
      </w:r>
      <w:proofErr w:type="gramEnd"/>
      <w:r w:rsidR="0027649E">
        <w:rPr>
          <w:rFonts w:cs="Arial"/>
        </w:rPr>
        <w:t xml:space="preserve"> </w:t>
      </w:r>
      <w:r w:rsidR="00A8099D">
        <w:rPr>
          <w:rFonts w:cs="Arial"/>
        </w:rPr>
        <w:t xml:space="preserve">equally </w:t>
      </w:r>
      <w:r w:rsidR="0027649E">
        <w:rPr>
          <w:rFonts w:cs="Arial"/>
        </w:rPr>
        <w:t>considered for pay reward at single point in time as part of a routine cycle focuse</w:t>
      </w:r>
      <w:r w:rsidR="00A8099D">
        <w:rPr>
          <w:rFonts w:cs="Arial"/>
        </w:rPr>
        <w:t>d</w:t>
      </w:r>
      <w:r w:rsidR="0027649E">
        <w:rPr>
          <w:rFonts w:cs="Arial"/>
        </w:rPr>
        <w:t xml:space="preserve"> on supporting promotion and rewarding achievements. </w:t>
      </w:r>
    </w:p>
    <w:p w:rsidR="00A8099D" w:rsidRDefault="003344CF" w:rsidP="003344CF">
      <w:pPr>
        <w:spacing w:after="0" w:line="240" w:lineRule="auto"/>
        <w:jc w:val="both"/>
        <w:rPr>
          <w:rFonts w:cs="Arial"/>
        </w:rPr>
      </w:pPr>
      <w:r>
        <w:rPr>
          <w:rFonts w:cs="Arial"/>
          <w:i/>
        </w:rPr>
        <w:t>R</w:t>
      </w:r>
      <w:r w:rsidRPr="003344CF">
        <w:rPr>
          <w:rFonts w:cs="Arial"/>
          <w:i/>
        </w:rPr>
        <w:t>esponsibility:</w:t>
      </w:r>
      <w:r>
        <w:rPr>
          <w:rFonts w:cs="Arial"/>
        </w:rPr>
        <w:t xml:space="preserve"> Dean / Faculty Manager by October 2013</w:t>
      </w:r>
    </w:p>
    <w:p w:rsidR="00A8099D" w:rsidRDefault="00A8099D" w:rsidP="00F63847">
      <w:pPr>
        <w:spacing w:after="0" w:line="240" w:lineRule="auto"/>
        <w:jc w:val="both"/>
        <w:rPr>
          <w:rFonts w:cs="Arial"/>
        </w:rPr>
      </w:pPr>
    </w:p>
    <w:p w:rsidR="00F63847" w:rsidRPr="00F63847" w:rsidRDefault="00F63847" w:rsidP="00F63847">
      <w:pPr>
        <w:spacing w:after="0" w:line="240" w:lineRule="auto"/>
        <w:jc w:val="both"/>
        <w:rPr>
          <w:b/>
        </w:rPr>
      </w:pPr>
      <w:r w:rsidRPr="00F63847">
        <w:rPr>
          <w:rFonts w:cs="Arial"/>
          <w:b/>
        </w:rPr>
        <w:t>Increase female representation on committees and boards</w:t>
      </w:r>
    </w:p>
    <w:p w:rsidR="00F63847" w:rsidRDefault="00F63847" w:rsidP="00F63847">
      <w:pPr>
        <w:spacing w:after="0" w:line="240" w:lineRule="auto"/>
        <w:jc w:val="both"/>
        <w:rPr>
          <w:rFonts w:cs="Arial"/>
        </w:rPr>
      </w:pPr>
    </w:p>
    <w:p w:rsidR="00E27CF0" w:rsidRDefault="00006261" w:rsidP="00F63847">
      <w:pPr>
        <w:spacing w:after="0" w:line="240" w:lineRule="auto"/>
        <w:jc w:val="both"/>
        <w:rPr>
          <w:rFonts w:cs="Arial"/>
        </w:rPr>
      </w:pPr>
      <w:r w:rsidRPr="00006261">
        <w:rPr>
          <w:rFonts w:cs="Arial"/>
          <w:b/>
          <w:i/>
        </w:rPr>
        <w:t>Objective:</w:t>
      </w:r>
      <w:r w:rsidRPr="00006261">
        <w:rPr>
          <w:rFonts w:cs="Arial"/>
          <w:i/>
        </w:rPr>
        <w:t xml:space="preserve"> </w:t>
      </w:r>
      <w:r w:rsidR="00181CC6">
        <w:rPr>
          <w:rFonts w:cs="Arial"/>
        </w:rPr>
        <w:t>The Faculty will monitor and improve female representation on boards and committees</w:t>
      </w:r>
      <w:r w:rsidR="005419A9">
        <w:rPr>
          <w:rFonts w:cs="Arial"/>
        </w:rPr>
        <w:t xml:space="preserve"> which are scheduled </w:t>
      </w:r>
      <w:r w:rsidR="005419A9">
        <w:rPr>
          <w:rFonts w:cstheme="minorHAnsi"/>
        </w:rPr>
        <w:t xml:space="preserve">during </w:t>
      </w:r>
      <w:r w:rsidR="005419A9" w:rsidRPr="00717200">
        <w:rPr>
          <w:rFonts w:cstheme="minorHAnsi"/>
        </w:rPr>
        <w:t>the core hours of 9.30am to 5pm</w:t>
      </w:r>
      <w:r w:rsidR="005419A9">
        <w:rPr>
          <w:rFonts w:cstheme="minorHAnsi"/>
        </w:rPr>
        <w:t xml:space="preserve">. </w:t>
      </w:r>
      <w:r w:rsidR="00181CC6">
        <w:rPr>
          <w:rFonts w:cs="Arial"/>
        </w:rPr>
        <w:t xml:space="preserve">Where the current composition of ex-officio representatives gives rise to an uneven gender balance we will provide opportunities for female leaders and managers to deputise or be seconded. </w:t>
      </w:r>
    </w:p>
    <w:p w:rsidR="005419A9" w:rsidRDefault="005419A9" w:rsidP="00F63847">
      <w:pPr>
        <w:spacing w:after="0" w:line="240" w:lineRule="auto"/>
        <w:jc w:val="both"/>
        <w:rPr>
          <w:rFonts w:cs="Arial"/>
        </w:rPr>
      </w:pPr>
    </w:p>
    <w:p w:rsidR="00E27CF0" w:rsidRDefault="00E27CF0" w:rsidP="00F63847">
      <w:pPr>
        <w:spacing w:after="0" w:line="240" w:lineRule="auto"/>
        <w:jc w:val="both"/>
        <w:rPr>
          <w:rFonts w:cs="Arial"/>
        </w:rPr>
      </w:pPr>
      <w:r>
        <w:rPr>
          <w:rFonts w:cs="Arial"/>
        </w:rPr>
        <w:t>Deputies nominated to stand in for Directors at Faculty Executive Team meetings are:</w:t>
      </w:r>
    </w:p>
    <w:p w:rsidR="005419A9" w:rsidRDefault="005419A9" w:rsidP="00F63847">
      <w:pPr>
        <w:spacing w:after="0" w:line="240" w:lineRule="auto"/>
        <w:jc w:val="both"/>
        <w:rPr>
          <w:rFonts w:cs="Arial"/>
        </w:rPr>
      </w:pPr>
    </w:p>
    <w:p w:rsidR="00E27CF0" w:rsidRPr="005419A9" w:rsidRDefault="00B86147" w:rsidP="005419A9">
      <w:pPr>
        <w:pStyle w:val="ListParagraph"/>
        <w:numPr>
          <w:ilvl w:val="0"/>
          <w:numId w:val="7"/>
        </w:numPr>
        <w:spacing w:after="0" w:line="240" w:lineRule="auto"/>
        <w:jc w:val="both"/>
        <w:rPr>
          <w:rFonts w:cs="Arial"/>
        </w:rPr>
      </w:pPr>
      <w:r w:rsidRPr="005419A9">
        <w:rPr>
          <w:rFonts w:cs="Arial"/>
        </w:rPr>
        <w:t xml:space="preserve">Jennifer Linden </w:t>
      </w:r>
      <w:r w:rsidR="00E27CF0" w:rsidRPr="005419A9">
        <w:rPr>
          <w:rFonts w:cs="Arial"/>
        </w:rPr>
        <w:t>Ear Institute</w:t>
      </w:r>
    </w:p>
    <w:p w:rsidR="00B86147" w:rsidRPr="005419A9" w:rsidRDefault="00B86147" w:rsidP="005419A9">
      <w:pPr>
        <w:pStyle w:val="ListParagraph"/>
        <w:numPr>
          <w:ilvl w:val="0"/>
          <w:numId w:val="7"/>
        </w:numPr>
        <w:spacing w:after="0" w:line="240" w:lineRule="auto"/>
        <w:jc w:val="both"/>
        <w:rPr>
          <w:rFonts w:cs="Arial"/>
        </w:rPr>
      </w:pPr>
      <w:r w:rsidRPr="005419A9">
        <w:rPr>
          <w:rFonts w:cs="Arial"/>
        </w:rPr>
        <w:t>Sophie Scott, Institute of Cognitive Neuroscience</w:t>
      </w:r>
    </w:p>
    <w:p w:rsidR="00B86147" w:rsidRPr="005419A9" w:rsidRDefault="00B86147" w:rsidP="005419A9">
      <w:pPr>
        <w:pStyle w:val="ListParagraph"/>
        <w:numPr>
          <w:ilvl w:val="0"/>
          <w:numId w:val="7"/>
        </w:numPr>
        <w:spacing w:after="0" w:line="240" w:lineRule="auto"/>
        <w:jc w:val="both"/>
        <w:rPr>
          <w:rFonts w:cs="Arial"/>
        </w:rPr>
      </w:pPr>
      <w:proofErr w:type="spellStart"/>
      <w:r w:rsidRPr="005419A9">
        <w:rPr>
          <w:rFonts w:cs="Arial"/>
          <w:color w:val="0070C0"/>
        </w:rPr>
        <w:t>tbc</w:t>
      </w:r>
      <w:proofErr w:type="spellEnd"/>
      <w:r w:rsidRPr="005419A9">
        <w:rPr>
          <w:rFonts w:cs="Arial"/>
        </w:rPr>
        <w:t xml:space="preserve">, Institute of Neurology      </w:t>
      </w:r>
    </w:p>
    <w:p w:rsidR="00E27CF0" w:rsidRPr="005419A9" w:rsidRDefault="00E27CF0" w:rsidP="005419A9">
      <w:pPr>
        <w:pStyle w:val="ListParagraph"/>
        <w:numPr>
          <w:ilvl w:val="0"/>
          <w:numId w:val="7"/>
        </w:numPr>
        <w:spacing w:after="0" w:line="240" w:lineRule="auto"/>
        <w:jc w:val="both"/>
        <w:rPr>
          <w:rFonts w:cs="Arial"/>
        </w:rPr>
      </w:pPr>
      <w:r w:rsidRPr="005419A9">
        <w:rPr>
          <w:rFonts w:cs="Arial"/>
        </w:rPr>
        <w:t>Clare Futter, Institute of Ophthalmology</w:t>
      </w:r>
    </w:p>
    <w:p w:rsidR="00E27CF0" w:rsidRPr="005419A9" w:rsidRDefault="00E27CF0" w:rsidP="005419A9">
      <w:pPr>
        <w:pStyle w:val="ListParagraph"/>
        <w:numPr>
          <w:ilvl w:val="0"/>
          <w:numId w:val="7"/>
        </w:numPr>
        <w:spacing w:after="0" w:line="240" w:lineRule="auto"/>
        <w:jc w:val="both"/>
        <w:rPr>
          <w:rFonts w:cs="Arial"/>
        </w:rPr>
      </w:pPr>
      <w:r w:rsidRPr="005419A9">
        <w:rPr>
          <w:rFonts w:cs="Arial"/>
        </w:rPr>
        <w:t>Gill Livingstone or Sonia Johnson, Mental Health Sciences</w:t>
      </w:r>
    </w:p>
    <w:p w:rsidR="00E27CF0" w:rsidRPr="005419A9" w:rsidRDefault="00E27CF0" w:rsidP="005419A9">
      <w:pPr>
        <w:pStyle w:val="ListParagraph"/>
        <w:numPr>
          <w:ilvl w:val="0"/>
          <w:numId w:val="7"/>
        </w:numPr>
        <w:spacing w:after="0" w:line="240" w:lineRule="auto"/>
        <w:jc w:val="both"/>
        <w:rPr>
          <w:rFonts w:cs="Arial"/>
        </w:rPr>
      </w:pPr>
      <w:r w:rsidRPr="005419A9">
        <w:rPr>
          <w:rFonts w:cs="Arial"/>
        </w:rPr>
        <w:t xml:space="preserve">Gabriella </w:t>
      </w:r>
      <w:proofErr w:type="spellStart"/>
      <w:r w:rsidRPr="005419A9">
        <w:rPr>
          <w:rFonts w:cs="Arial"/>
        </w:rPr>
        <w:t>Vigliocco</w:t>
      </w:r>
      <w:proofErr w:type="spellEnd"/>
      <w:r w:rsidRPr="005419A9">
        <w:rPr>
          <w:rFonts w:cs="Arial"/>
        </w:rPr>
        <w:t>, Psychology &amp; Language Sciences</w:t>
      </w:r>
    </w:p>
    <w:p w:rsidR="001F5CA1" w:rsidRDefault="001F5CA1" w:rsidP="00F63847">
      <w:pPr>
        <w:spacing w:after="0" w:line="240" w:lineRule="auto"/>
        <w:jc w:val="both"/>
        <w:rPr>
          <w:rFonts w:cs="Arial"/>
        </w:rPr>
      </w:pPr>
    </w:p>
    <w:p w:rsidR="00F63847" w:rsidRDefault="00D42B43" w:rsidP="00D42B43">
      <w:pPr>
        <w:spacing w:after="0" w:line="240" w:lineRule="auto"/>
        <w:rPr>
          <w:rFonts w:cs="Arial"/>
        </w:rPr>
      </w:pPr>
      <w:r>
        <w:rPr>
          <w:rFonts w:cs="Arial"/>
        </w:rPr>
        <w:t xml:space="preserve">The Faculty recognises the importance of ensuring balanced representation on Committees. The recently established BRC Neuroscience Executive Committee comprises </w:t>
      </w:r>
      <w:r w:rsidRPr="00D42B43">
        <w:rPr>
          <w:rFonts w:cs="Arial"/>
        </w:rPr>
        <w:t>Olga Ciccarelli, Sarah Tabrizi, Eleanor Maguire, Henry Houlden, Matthew Walker and Nick Wood.</w:t>
      </w:r>
      <w:r>
        <w:rPr>
          <w:rFonts w:cs="Arial"/>
        </w:rPr>
        <w:t xml:space="preserve"> The Dean has </w:t>
      </w:r>
      <w:r w:rsidR="00B86147">
        <w:rPr>
          <w:rFonts w:cs="Arial"/>
        </w:rPr>
        <w:t>nominated female staff to undertake roles on SLMS Boards and Working Groups (e.g. Sarah Jayne-Blakemore, SLMS Communication Board; Kate Jeffrey, SLMS HR Sub-Committee</w:t>
      </w:r>
      <w:r w:rsidR="001F5CA1">
        <w:rPr>
          <w:rFonts w:cs="Arial"/>
        </w:rPr>
        <w:t>; Sophie Scott</w:t>
      </w:r>
      <w:r w:rsidR="009A3AEE">
        <w:rPr>
          <w:rFonts w:cs="Arial"/>
        </w:rPr>
        <w:t>, Public Engagement Lead; Julie Daniels, Knowledge Transfer Champion</w:t>
      </w:r>
      <w:r w:rsidR="00B86147">
        <w:rPr>
          <w:rFonts w:cs="Arial"/>
        </w:rPr>
        <w:t xml:space="preserve">) and will continue to identify opportunities to increase female representation on committees and boards. </w:t>
      </w:r>
    </w:p>
    <w:p w:rsidR="00D42B43" w:rsidRDefault="00D42B43" w:rsidP="00F63847">
      <w:pPr>
        <w:spacing w:after="0" w:line="240" w:lineRule="auto"/>
        <w:jc w:val="both"/>
        <w:rPr>
          <w:rFonts w:cs="Arial"/>
        </w:rPr>
      </w:pPr>
    </w:p>
    <w:p w:rsidR="005419A9" w:rsidRDefault="005419A9" w:rsidP="005419A9">
      <w:pPr>
        <w:spacing w:after="0" w:line="240" w:lineRule="auto"/>
        <w:jc w:val="both"/>
        <w:rPr>
          <w:rFonts w:cs="Arial"/>
        </w:rPr>
      </w:pPr>
      <w:r>
        <w:rPr>
          <w:rFonts w:cs="Arial"/>
          <w:i/>
        </w:rPr>
        <w:t>R</w:t>
      </w:r>
      <w:r w:rsidRPr="003344CF">
        <w:rPr>
          <w:rFonts w:cs="Arial"/>
          <w:i/>
        </w:rPr>
        <w:t>esponsibility:</w:t>
      </w:r>
      <w:r>
        <w:rPr>
          <w:rFonts w:cs="Arial"/>
        </w:rPr>
        <w:t xml:space="preserve"> Dean / Faculty Manager by July 2014</w:t>
      </w:r>
    </w:p>
    <w:p w:rsidR="00181CC6" w:rsidRDefault="00181CC6" w:rsidP="00F63847">
      <w:pPr>
        <w:spacing w:after="0" w:line="240" w:lineRule="auto"/>
        <w:jc w:val="both"/>
        <w:rPr>
          <w:rFonts w:cs="Arial"/>
        </w:rPr>
      </w:pPr>
    </w:p>
    <w:p w:rsidR="00F63847" w:rsidRPr="00F63847" w:rsidRDefault="00F63847" w:rsidP="00F63847">
      <w:pPr>
        <w:spacing w:after="0" w:line="240" w:lineRule="auto"/>
        <w:jc w:val="both"/>
        <w:rPr>
          <w:b/>
        </w:rPr>
      </w:pPr>
      <w:r w:rsidRPr="00F63847">
        <w:rPr>
          <w:rFonts w:cs="Arial"/>
          <w:b/>
        </w:rPr>
        <w:t>Obtain Athena SWAN status across Faculty</w:t>
      </w:r>
    </w:p>
    <w:p w:rsidR="00F63847" w:rsidRDefault="00F63847" w:rsidP="00F63847">
      <w:pPr>
        <w:spacing w:after="0" w:line="240" w:lineRule="auto"/>
        <w:jc w:val="both"/>
        <w:rPr>
          <w:rFonts w:cs="Arial"/>
        </w:rPr>
      </w:pPr>
    </w:p>
    <w:p w:rsidR="00F63847" w:rsidRDefault="00006261" w:rsidP="00F63847">
      <w:pPr>
        <w:spacing w:after="0" w:line="240" w:lineRule="auto"/>
        <w:jc w:val="both"/>
        <w:rPr>
          <w:rFonts w:cs="Arial"/>
        </w:rPr>
      </w:pPr>
      <w:r w:rsidRPr="00006261">
        <w:rPr>
          <w:rFonts w:cs="Arial"/>
          <w:b/>
          <w:i/>
        </w:rPr>
        <w:t>Objective:</w:t>
      </w:r>
      <w:r w:rsidRPr="00006261">
        <w:rPr>
          <w:rFonts w:cs="Arial"/>
          <w:i/>
        </w:rPr>
        <w:t xml:space="preserve"> </w:t>
      </w:r>
      <w:r w:rsidR="006B6681">
        <w:rPr>
          <w:rFonts w:cs="Arial"/>
        </w:rPr>
        <w:t xml:space="preserve">It has been agreed as part of the Faculty Strategy that all divisions and institutes within the Faculty of Brain Sciences will apply for Athena Swan status during 2012-2013 with the aspiration that they should attain either Silver or Bronze status. </w:t>
      </w:r>
    </w:p>
    <w:p w:rsidR="006B6681" w:rsidRDefault="006B6681" w:rsidP="00F63847">
      <w:pPr>
        <w:spacing w:after="0" w:line="240" w:lineRule="auto"/>
        <w:jc w:val="both"/>
        <w:rPr>
          <w:rFonts w:cs="Arial"/>
        </w:rPr>
      </w:pPr>
    </w:p>
    <w:tbl>
      <w:tblPr>
        <w:tblStyle w:val="TableGrid"/>
        <w:tblW w:w="0" w:type="auto"/>
        <w:tblLook w:val="04A0" w:firstRow="1" w:lastRow="0" w:firstColumn="1" w:lastColumn="0" w:noHBand="0" w:noVBand="1"/>
      </w:tblPr>
      <w:tblGrid>
        <w:gridCol w:w="3936"/>
        <w:gridCol w:w="1842"/>
        <w:gridCol w:w="2977"/>
      </w:tblGrid>
      <w:tr w:rsidR="006B6681" w:rsidRPr="006B6681" w:rsidTr="006B6681">
        <w:tc>
          <w:tcPr>
            <w:tcW w:w="3936" w:type="dxa"/>
          </w:tcPr>
          <w:p w:rsidR="006B6681" w:rsidRPr="006B6681" w:rsidRDefault="006B6681" w:rsidP="006B6681">
            <w:pPr>
              <w:rPr>
                <w:b/>
                <w:sz w:val="22"/>
                <w:szCs w:val="22"/>
              </w:rPr>
            </w:pPr>
            <w:r w:rsidRPr="006B6681">
              <w:rPr>
                <w:b/>
                <w:sz w:val="22"/>
                <w:szCs w:val="22"/>
              </w:rPr>
              <w:t>Division/Institute</w:t>
            </w:r>
          </w:p>
        </w:tc>
        <w:tc>
          <w:tcPr>
            <w:tcW w:w="1842" w:type="dxa"/>
          </w:tcPr>
          <w:p w:rsidR="006B6681" w:rsidRPr="006B6681" w:rsidRDefault="006B6681" w:rsidP="006B6681">
            <w:pPr>
              <w:rPr>
                <w:b/>
                <w:sz w:val="22"/>
                <w:szCs w:val="22"/>
              </w:rPr>
            </w:pPr>
            <w:r w:rsidRPr="006B6681">
              <w:rPr>
                <w:b/>
                <w:sz w:val="22"/>
                <w:szCs w:val="22"/>
              </w:rPr>
              <w:t>Current status</w:t>
            </w:r>
          </w:p>
        </w:tc>
        <w:tc>
          <w:tcPr>
            <w:tcW w:w="2977" w:type="dxa"/>
          </w:tcPr>
          <w:p w:rsidR="006B6681" w:rsidRPr="006B6681" w:rsidRDefault="006B6681" w:rsidP="006B6681">
            <w:pPr>
              <w:rPr>
                <w:b/>
                <w:sz w:val="22"/>
                <w:szCs w:val="22"/>
              </w:rPr>
            </w:pPr>
            <w:r w:rsidRPr="006B6681">
              <w:rPr>
                <w:b/>
                <w:sz w:val="22"/>
                <w:szCs w:val="22"/>
              </w:rPr>
              <w:t>Plans</w:t>
            </w:r>
          </w:p>
        </w:tc>
      </w:tr>
      <w:tr w:rsidR="006B6681" w:rsidRPr="006B6681" w:rsidTr="006B6681">
        <w:tc>
          <w:tcPr>
            <w:tcW w:w="3936" w:type="dxa"/>
          </w:tcPr>
          <w:p w:rsidR="006B6681" w:rsidRPr="006B6681" w:rsidRDefault="006B6681" w:rsidP="006B6681">
            <w:pPr>
              <w:rPr>
                <w:sz w:val="22"/>
                <w:szCs w:val="22"/>
              </w:rPr>
            </w:pPr>
            <w:r w:rsidRPr="006B6681">
              <w:rPr>
                <w:sz w:val="22"/>
                <w:szCs w:val="22"/>
              </w:rPr>
              <w:t>Ear Institute</w:t>
            </w:r>
          </w:p>
        </w:tc>
        <w:tc>
          <w:tcPr>
            <w:tcW w:w="1842" w:type="dxa"/>
          </w:tcPr>
          <w:p w:rsidR="006B6681" w:rsidRPr="006B6681" w:rsidRDefault="006B6681" w:rsidP="006B6681">
            <w:pPr>
              <w:rPr>
                <w:sz w:val="22"/>
                <w:szCs w:val="22"/>
              </w:rPr>
            </w:pPr>
            <w:r w:rsidRPr="006B6681">
              <w:rPr>
                <w:sz w:val="22"/>
                <w:szCs w:val="22"/>
              </w:rPr>
              <w:t>No award</w:t>
            </w:r>
          </w:p>
        </w:tc>
        <w:tc>
          <w:tcPr>
            <w:tcW w:w="2977" w:type="dxa"/>
          </w:tcPr>
          <w:p w:rsidR="006B6681" w:rsidRPr="006B6681" w:rsidRDefault="006B6681" w:rsidP="00A8099D">
            <w:pPr>
              <w:rPr>
                <w:sz w:val="22"/>
                <w:szCs w:val="22"/>
              </w:rPr>
            </w:pPr>
            <w:r w:rsidRPr="006B6681">
              <w:rPr>
                <w:sz w:val="22"/>
                <w:szCs w:val="22"/>
              </w:rPr>
              <w:t xml:space="preserve">Apply </w:t>
            </w:r>
            <w:r w:rsidR="00A8099D">
              <w:rPr>
                <w:sz w:val="22"/>
                <w:szCs w:val="22"/>
              </w:rPr>
              <w:t>S</w:t>
            </w:r>
            <w:r w:rsidRPr="006B6681">
              <w:rPr>
                <w:sz w:val="22"/>
                <w:szCs w:val="22"/>
              </w:rPr>
              <w:t xml:space="preserve">ilver </w:t>
            </w:r>
            <w:r w:rsidR="00A8099D">
              <w:rPr>
                <w:sz w:val="22"/>
                <w:szCs w:val="22"/>
              </w:rPr>
              <w:t xml:space="preserve">November </w:t>
            </w:r>
            <w:r w:rsidRPr="006B6681">
              <w:rPr>
                <w:sz w:val="22"/>
                <w:szCs w:val="22"/>
              </w:rPr>
              <w:t>2013</w:t>
            </w:r>
          </w:p>
        </w:tc>
      </w:tr>
      <w:tr w:rsidR="006B6681" w:rsidRPr="006B6681" w:rsidTr="006B6681">
        <w:tc>
          <w:tcPr>
            <w:tcW w:w="3936" w:type="dxa"/>
          </w:tcPr>
          <w:p w:rsidR="006B6681" w:rsidRPr="006B6681" w:rsidRDefault="006B6681" w:rsidP="006B6681">
            <w:pPr>
              <w:rPr>
                <w:sz w:val="22"/>
                <w:szCs w:val="22"/>
              </w:rPr>
            </w:pPr>
            <w:r w:rsidRPr="006B6681">
              <w:rPr>
                <w:sz w:val="22"/>
                <w:szCs w:val="22"/>
              </w:rPr>
              <w:t>I</w:t>
            </w:r>
            <w:r>
              <w:rPr>
                <w:sz w:val="22"/>
                <w:szCs w:val="22"/>
              </w:rPr>
              <w:t xml:space="preserve">nstitute of </w:t>
            </w:r>
            <w:r w:rsidRPr="006B6681">
              <w:rPr>
                <w:sz w:val="22"/>
                <w:szCs w:val="22"/>
              </w:rPr>
              <w:t>C</w:t>
            </w:r>
            <w:r>
              <w:rPr>
                <w:sz w:val="22"/>
                <w:szCs w:val="22"/>
              </w:rPr>
              <w:t xml:space="preserve">ognitive </w:t>
            </w:r>
            <w:r w:rsidRPr="006B6681">
              <w:rPr>
                <w:sz w:val="22"/>
                <w:szCs w:val="22"/>
              </w:rPr>
              <w:t>N</w:t>
            </w:r>
            <w:r>
              <w:rPr>
                <w:sz w:val="22"/>
                <w:szCs w:val="22"/>
              </w:rPr>
              <w:t>euroscience</w:t>
            </w:r>
          </w:p>
        </w:tc>
        <w:tc>
          <w:tcPr>
            <w:tcW w:w="1842" w:type="dxa"/>
          </w:tcPr>
          <w:p w:rsidR="006B6681" w:rsidRPr="006B6681" w:rsidRDefault="006B6681" w:rsidP="006B6681">
            <w:pPr>
              <w:rPr>
                <w:sz w:val="22"/>
                <w:szCs w:val="22"/>
              </w:rPr>
            </w:pPr>
            <w:r w:rsidRPr="006B6681">
              <w:rPr>
                <w:sz w:val="22"/>
                <w:szCs w:val="22"/>
              </w:rPr>
              <w:t>Silver</w:t>
            </w:r>
          </w:p>
        </w:tc>
        <w:tc>
          <w:tcPr>
            <w:tcW w:w="2977" w:type="dxa"/>
          </w:tcPr>
          <w:p w:rsidR="006B6681" w:rsidRPr="006B6681" w:rsidRDefault="006B6681" w:rsidP="006B6681">
            <w:pPr>
              <w:rPr>
                <w:sz w:val="22"/>
                <w:szCs w:val="22"/>
              </w:rPr>
            </w:pPr>
            <w:r w:rsidRPr="006B6681">
              <w:rPr>
                <w:sz w:val="22"/>
                <w:szCs w:val="22"/>
              </w:rPr>
              <w:t>Renew Silver April 2013</w:t>
            </w:r>
          </w:p>
        </w:tc>
      </w:tr>
      <w:tr w:rsidR="006B6681" w:rsidRPr="006B6681" w:rsidTr="006B6681">
        <w:tc>
          <w:tcPr>
            <w:tcW w:w="3936" w:type="dxa"/>
          </w:tcPr>
          <w:p w:rsidR="006B6681" w:rsidRPr="006B6681" w:rsidRDefault="006B6681" w:rsidP="006B6681">
            <w:pPr>
              <w:rPr>
                <w:sz w:val="22"/>
                <w:szCs w:val="22"/>
              </w:rPr>
            </w:pPr>
            <w:r w:rsidRPr="006B6681">
              <w:rPr>
                <w:sz w:val="22"/>
                <w:szCs w:val="22"/>
              </w:rPr>
              <w:t>I</w:t>
            </w:r>
            <w:r>
              <w:rPr>
                <w:sz w:val="22"/>
                <w:szCs w:val="22"/>
              </w:rPr>
              <w:t>nstitute of Neurology</w:t>
            </w:r>
          </w:p>
        </w:tc>
        <w:tc>
          <w:tcPr>
            <w:tcW w:w="1842" w:type="dxa"/>
          </w:tcPr>
          <w:p w:rsidR="006B6681" w:rsidRPr="006B6681" w:rsidRDefault="006B6681" w:rsidP="006B6681">
            <w:pPr>
              <w:rPr>
                <w:sz w:val="22"/>
                <w:szCs w:val="22"/>
              </w:rPr>
            </w:pPr>
            <w:r w:rsidRPr="006B6681">
              <w:rPr>
                <w:sz w:val="22"/>
                <w:szCs w:val="22"/>
              </w:rPr>
              <w:t>No award</w:t>
            </w:r>
          </w:p>
        </w:tc>
        <w:tc>
          <w:tcPr>
            <w:tcW w:w="2977" w:type="dxa"/>
          </w:tcPr>
          <w:p w:rsidR="006B6681" w:rsidRPr="006B6681" w:rsidRDefault="006B6681" w:rsidP="00A8099D">
            <w:pPr>
              <w:rPr>
                <w:sz w:val="22"/>
                <w:szCs w:val="22"/>
              </w:rPr>
            </w:pPr>
            <w:r w:rsidRPr="006B6681">
              <w:rPr>
                <w:sz w:val="22"/>
                <w:szCs w:val="22"/>
              </w:rPr>
              <w:t xml:space="preserve">Apply </w:t>
            </w:r>
            <w:r w:rsidR="00A8099D">
              <w:rPr>
                <w:sz w:val="22"/>
                <w:szCs w:val="22"/>
              </w:rPr>
              <w:t>S</w:t>
            </w:r>
            <w:r w:rsidRPr="006B6681">
              <w:rPr>
                <w:sz w:val="22"/>
                <w:szCs w:val="22"/>
              </w:rPr>
              <w:t>ilver April 2013</w:t>
            </w:r>
          </w:p>
        </w:tc>
      </w:tr>
      <w:tr w:rsidR="006B6681" w:rsidRPr="006B6681" w:rsidTr="006B6681">
        <w:tc>
          <w:tcPr>
            <w:tcW w:w="3936" w:type="dxa"/>
          </w:tcPr>
          <w:p w:rsidR="006B6681" w:rsidRPr="006B6681" w:rsidRDefault="006B6681" w:rsidP="006B6681">
            <w:pPr>
              <w:rPr>
                <w:sz w:val="22"/>
                <w:szCs w:val="22"/>
              </w:rPr>
            </w:pPr>
            <w:r w:rsidRPr="006B6681">
              <w:rPr>
                <w:sz w:val="22"/>
                <w:szCs w:val="22"/>
              </w:rPr>
              <w:t>I</w:t>
            </w:r>
            <w:r>
              <w:rPr>
                <w:sz w:val="22"/>
                <w:szCs w:val="22"/>
              </w:rPr>
              <w:t>nstitute of Ophthalmology</w:t>
            </w:r>
          </w:p>
        </w:tc>
        <w:tc>
          <w:tcPr>
            <w:tcW w:w="1842" w:type="dxa"/>
          </w:tcPr>
          <w:p w:rsidR="006B6681" w:rsidRPr="006B6681" w:rsidRDefault="006B6681" w:rsidP="006B6681">
            <w:pPr>
              <w:rPr>
                <w:sz w:val="22"/>
                <w:szCs w:val="22"/>
              </w:rPr>
            </w:pPr>
            <w:r w:rsidRPr="006B6681">
              <w:rPr>
                <w:sz w:val="22"/>
                <w:szCs w:val="22"/>
              </w:rPr>
              <w:t>No award</w:t>
            </w:r>
          </w:p>
        </w:tc>
        <w:tc>
          <w:tcPr>
            <w:tcW w:w="2977" w:type="dxa"/>
          </w:tcPr>
          <w:p w:rsidR="006B6681" w:rsidRPr="006B6681" w:rsidRDefault="006B6681" w:rsidP="00A8099D">
            <w:pPr>
              <w:rPr>
                <w:sz w:val="22"/>
                <w:szCs w:val="22"/>
              </w:rPr>
            </w:pPr>
            <w:r w:rsidRPr="006B6681">
              <w:rPr>
                <w:sz w:val="22"/>
                <w:szCs w:val="22"/>
              </w:rPr>
              <w:t xml:space="preserve">Apply </w:t>
            </w:r>
            <w:r w:rsidR="00A8099D">
              <w:rPr>
                <w:sz w:val="22"/>
                <w:szCs w:val="22"/>
              </w:rPr>
              <w:t>S</w:t>
            </w:r>
            <w:r w:rsidRPr="006B6681">
              <w:rPr>
                <w:sz w:val="22"/>
                <w:szCs w:val="22"/>
              </w:rPr>
              <w:t>ilver April 2013</w:t>
            </w:r>
          </w:p>
        </w:tc>
      </w:tr>
      <w:tr w:rsidR="006B6681" w:rsidRPr="006B6681" w:rsidTr="006B6681">
        <w:tc>
          <w:tcPr>
            <w:tcW w:w="3936" w:type="dxa"/>
          </w:tcPr>
          <w:p w:rsidR="006B6681" w:rsidRPr="006B6681" w:rsidRDefault="006B6681" w:rsidP="006B6681">
            <w:pPr>
              <w:rPr>
                <w:sz w:val="22"/>
                <w:szCs w:val="22"/>
              </w:rPr>
            </w:pPr>
            <w:r w:rsidRPr="006B6681">
              <w:rPr>
                <w:sz w:val="22"/>
                <w:szCs w:val="22"/>
              </w:rPr>
              <w:t>Mental Health</w:t>
            </w:r>
          </w:p>
        </w:tc>
        <w:tc>
          <w:tcPr>
            <w:tcW w:w="1842" w:type="dxa"/>
          </w:tcPr>
          <w:p w:rsidR="006B6681" w:rsidRPr="006B6681" w:rsidRDefault="006B6681" w:rsidP="006B6681">
            <w:pPr>
              <w:rPr>
                <w:sz w:val="22"/>
                <w:szCs w:val="22"/>
              </w:rPr>
            </w:pPr>
            <w:r w:rsidRPr="006B6681">
              <w:rPr>
                <w:sz w:val="22"/>
                <w:szCs w:val="22"/>
              </w:rPr>
              <w:t>Bronze</w:t>
            </w:r>
          </w:p>
        </w:tc>
        <w:tc>
          <w:tcPr>
            <w:tcW w:w="2977" w:type="dxa"/>
          </w:tcPr>
          <w:p w:rsidR="006B6681" w:rsidRPr="006B6681" w:rsidRDefault="00A8099D" w:rsidP="00A8099D">
            <w:pPr>
              <w:rPr>
                <w:sz w:val="22"/>
                <w:szCs w:val="22"/>
              </w:rPr>
            </w:pPr>
            <w:r>
              <w:rPr>
                <w:sz w:val="22"/>
                <w:szCs w:val="22"/>
              </w:rPr>
              <w:t>Re-a</w:t>
            </w:r>
            <w:r w:rsidRPr="006B6681">
              <w:rPr>
                <w:sz w:val="22"/>
                <w:szCs w:val="22"/>
              </w:rPr>
              <w:t xml:space="preserve">pply </w:t>
            </w:r>
            <w:r>
              <w:rPr>
                <w:sz w:val="22"/>
                <w:szCs w:val="22"/>
              </w:rPr>
              <w:t>S</w:t>
            </w:r>
            <w:r w:rsidRPr="006B6681">
              <w:rPr>
                <w:sz w:val="22"/>
                <w:szCs w:val="22"/>
              </w:rPr>
              <w:t>ilver April 2013</w:t>
            </w:r>
          </w:p>
        </w:tc>
      </w:tr>
      <w:tr w:rsidR="006B6681" w:rsidRPr="006B6681" w:rsidTr="006B6681">
        <w:tc>
          <w:tcPr>
            <w:tcW w:w="3936" w:type="dxa"/>
          </w:tcPr>
          <w:p w:rsidR="006B6681" w:rsidRPr="006B6681" w:rsidRDefault="006B6681" w:rsidP="006B6681">
            <w:pPr>
              <w:rPr>
                <w:sz w:val="22"/>
                <w:szCs w:val="22"/>
              </w:rPr>
            </w:pPr>
            <w:r>
              <w:rPr>
                <w:sz w:val="22"/>
                <w:szCs w:val="22"/>
              </w:rPr>
              <w:t>Psychology &amp; Language Sciences</w:t>
            </w:r>
          </w:p>
        </w:tc>
        <w:tc>
          <w:tcPr>
            <w:tcW w:w="1842" w:type="dxa"/>
          </w:tcPr>
          <w:p w:rsidR="006B6681" w:rsidRPr="006B6681" w:rsidRDefault="006B6681" w:rsidP="006B6681">
            <w:pPr>
              <w:rPr>
                <w:sz w:val="22"/>
                <w:szCs w:val="22"/>
              </w:rPr>
            </w:pPr>
            <w:r w:rsidRPr="006B6681">
              <w:rPr>
                <w:sz w:val="22"/>
                <w:szCs w:val="22"/>
              </w:rPr>
              <w:t>Silver</w:t>
            </w:r>
          </w:p>
        </w:tc>
        <w:tc>
          <w:tcPr>
            <w:tcW w:w="2977" w:type="dxa"/>
          </w:tcPr>
          <w:p w:rsidR="00A8099D" w:rsidRPr="006B6681" w:rsidRDefault="006B6681" w:rsidP="00A8099D">
            <w:pPr>
              <w:rPr>
                <w:sz w:val="22"/>
                <w:szCs w:val="22"/>
              </w:rPr>
            </w:pPr>
            <w:r w:rsidRPr="006B6681">
              <w:rPr>
                <w:sz w:val="22"/>
                <w:szCs w:val="22"/>
              </w:rPr>
              <w:t>Renew Silver</w:t>
            </w:r>
            <w:r>
              <w:rPr>
                <w:sz w:val="22"/>
                <w:szCs w:val="22"/>
              </w:rPr>
              <w:t xml:space="preserve"> </w:t>
            </w:r>
            <w:r w:rsidRPr="006B6681">
              <w:rPr>
                <w:sz w:val="22"/>
                <w:szCs w:val="22"/>
              </w:rPr>
              <w:t>Ap</w:t>
            </w:r>
            <w:r>
              <w:rPr>
                <w:sz w:val="22"/>
                <w:szCs w:val="22"/>
              </w:rPr>
              <w:t>ril</w:t>
            </w:r>
            <w:r w:rsidRPr="006B6681">
              <w:rPr>
                <w:sz w:val="22"/>
                <w:szCs w:val="22"/>
              </w:rPr>
              <w:t xml:space="preserve"> 2013</w:t>
            </w:r>
          </w:p>
        </w:tc>
      </w:tr>
    </w:tbl>
    <w:p w:rsidR="00A8099D" w:rsidRDefault="00A8099D" w:rsidP="00F63847">
      <w:pPr>
        <w:spacing w:after="0" w:line="240" w:lineRule="auto"/>
        <w:jc w:val="both"/>
        <w:rPr>
          <w:rFonts w:cs="Arial"/>
          <w:b/>
        </w:rPr>
      </w:pPr>
    </w:p>
    <w:p w:rsidR="00A414DA" w:rsidRPr="00A414DA" w:rsidRDefault="00B614D8" w:rsidP="00F63847">
      <w:pPr>
        <w:spacing w:after="0" w:line="240" w:lineRule="auto"/>
        <w:jc w:val="both"/>
        <w:rPr>
          <w:rFonts w:cs="Arial"/>
        </w:rPr>
      </w:pPr>
      <w:r>
        <w:rPr>
          <w:rFonts w:cs="Arial"/>
        </w:rPr>
        <w:t>F</w:t>
      </w:r>
      <w:r w:rsidR="00A414DA">
        <w:rPr>
          <w:rFonts w:cs="Arial"/>
        </w:rPr>
        <w:t xml:space="preserve">ollowing the development and submission of plans, </w:t>
      </w:r>
      <w:r>
        <w:rPr>
          <w:rFonts w:cs="Arial"/>
        </w:rPr>
        <w:t xml:space="preserve">it will be important </w:t>
      </w:r>
      <w:r w:rsidR="00A414DA">
        <w:rPr>
          <w:rFonts w:cs="Arial"/>
        </w:rPr>
        <w:t>that each division and institutes maintains a</w:t>
      </w:r>
      <w:r>
        <w:rPr>
          <w:rFonts w:cs="Arial"/>
        </w:rPr>
        <w:t xml:space="preserve">n </w:t>
      </w:r>
      <w:r w:rsidR="00A414DA">
        <w:rPr>
          <w:rFonts w:cs="Arial"/>
        </w:rPr>
        <w:t xml:space="preserve">effective oversight structure to ensure that the initiatives outlined in their plans are implemented, translate into successful outcomes </w:t>
      </w:r>
      <w:r>
        <w:rPr>
          <w:rFonts w:cs="Arial"/>
        </w:rPr>
        <w:t xml:space="preserve">and / </w:t>
      </w:r>
      <w:r w:rsidR="00A414DA">
        <w:rPr>
          <w:rFonts w:cs="Arial"/>
        </w:rPr>
        <w:t xml:space="preserve">or are reviewed and refined based on feedback.   </w:t>
      </w:r>
    </w:p>
    <w:p w:rsidR="00A414DA" w:rsidRDefault="00A414DA" w:rsidP="00F63847">
      <w:pPr>
        <w:spacing w:after="0" w:line="240" w:lineRule="auto"/>
        <w:jc w:val="both"/>
        <w:rPr>
          <w:rFonts w:cs="Arial"/>
          <w:b/>
        </w:rPr>
      </w:pPr>
    </w:p>
    <w:p w:rsidR="005419A9" w:rsidRDefault="005419A9" w:rsidP="005419A9">
      <w:pPr>
        <w:spacing w:after="0" w:line="240" w:lineRule="auto"/>
        <w:jc w:val="both"/>
        <w:rPr>
          <w:rFonts w:cs="Arial"/>
        </w:rPr>
      </w:pPr>
      <w:r>
        <w:rPr>
          <w:rFonts w:cs="Arial"/>
          <w:i/>
        </w:rPr>
        <w:t>R</w:t>
      </w:r>
      <w:r w:rsidRPr="003344CF">
        <w:rPr>
          <w:rFonts w:cs="Arial"/>
          <w:i/>
        </w:rPr>
        <w:t>esponsibility:</w:t>
      </w:r>
      <w:r>
        <w:rPr>
          <w:rFonts w:cs="Arial"/>
        </w:rPr>
        <w:t xml:space="preserve"> Deputy Head of Faculty by July 2014</w:t>
      </w:r>
    </w:p>
    <w:p w:rsidR="005419A9" w:rsidRDefault="005419A9" w:rsidP="00F63847">
      <w:pPr>
        <w:spacing w:after="0" w:line="240" w:lineRule="auto"/>
        <w:jc w:val="both"/>
        <w:rPr>
          <w:rFonts w:cs="Arial"/>
          <w:b/>
        </w:rPr>
      </w:pPr>
    </w:p>
    <w:p w:rsidR="005419A9" w:rsidRPr="009A3AEE" w:rsidRDefault="005419A9" w:rsidP="005419A9">
      <w:pPr>
        <w:spacing w:after="0" w:line="240" w:lineRule="auto"/>
        <w:jc w:val="both"/>
        <w:rPr>
          <w:rFonts w:cs="Arial"/>
        </w:rPr>
      </w:pPr>
      <w:r w:rsidRPr="009A3AEE">
        <w:rPr>
          <w:rFonts w:cs="Arial"/>
        </w:rPr>
        <w:lastRenderedPageBreak/>
        <w:t xml:space="preserve">The </w:t>
      </w:r>
      <w:r>
        <w:rPr>
          <w:rFonts w:cs="Arial"/>
        </w:rPr>
        <w:t xml:space="preserve">long-term </w:t>
      </w:r>
      <w:r w:rsidRPr="009A3AEE">
        <w:rPr>
          <w:rFonts w:cs="Arial"/>
        </w:rPr>
        <w:t xml:space="preserve">goal is </w:t>
      </w:r>
      <w:r>
        <w:rPr>
          <w:rFonts w:cs="Arial"/>
        </w:rPr>
        <w:t>that all parts of the faculty should have Silver status by the time the next BRC renewal (2017/18 to 2022/23) is made in June 2016.</w:t>
      </w:r>
    </w:p>
    <w:p w:rsidR="005419A9" w:rsidRDefault="005419A9" w:rsidP="00F63847">
      <w:pPr>
        <w:spacing w:after="0" w:line="240" w:lineRule="auto"/>
        <w:jc w:val="both"/>
        <w:rPr>
          <w:rFonts w:cs="Arial"/>
          <w:b/>
        </w:rPr>
      </w:pPr>
    </w:p>
    <w:p w:rsidR="00F63847" w:rsidRPr="00F63847" w:rsidRDefault="0020361E" w:rsidP="00F63847">
      <w:pPr>
        <w:spacing w:after="0" w:line="240" w:lineRule="auto"/>
        <w:jc w:val="both"/>
        <w:rPr>
          <w:b/>
        </w:rPr>
      </w:pPr>
      <w:r>
        <w:rPr>
          <w:rFonts w:cs="Arial"/>
          <w:b/>
        </w:rPr>
        <w:t xml:space="preserve">Female and </w:t>
      </w:r>
      <w:r w:rsidR="00F63847" w:rsidRPr="00F63847">
        <w:rPr>
          <w:rFonts w:cs="Arial"/>
          <w:b/>
        </w:rPr>
        <w:t>BME mentoring</w:t>
      </w:r>
    </w:p>
    <w:p w:rsidR="00F63847" w:rsidRDefault="00F63847" w:rsidP="00F63847">
      <w:pPr>
        <w:spacing w:after="0" w:line="240" w:lineRule="auto"/>
        <w:jc w:val="both"/>
        <w:rPr>
          <w:rFonts w:cs="Arial"/>
        </w:rPr>
      </w:pPr>
    </w:p>
    <w:p w:rsidR="00BF6BD0" w:rsidRDefault="00006261" w:rsidP="00F63847">
      <w:pPr>
        <w:spacing w:after="0" w:line="240" w:lineRule="auto"/>
        <w:jc w:val="both"/>
        <w:rPr>
          <w:rFonts w:cs="Arial"/>
        </w:rPr>
      </w:pPr>
      <w:r w:rsidRPr="00006261">
        <w:rPr>
          <w:rFonts w:cs="Arial"/>
          <w:b/>
          <w:i/>
        </w:rPr>
        <w:t>Objective:</w:t>
      </w:r>
      <w:r w:rsidRPr="00006261">
        <w:rPr>
          <w:rFonts w:cs="Arial"/>
          <w:i/>
        </w:rPr>
        <w:t xml:space="preserve"> </w:t>
      </w:r>
      <w:r w:rsidR="00B614D8">
        <w:rPr>
          <w:rFonts w:cs="Arial"/>
        </w:rPr>
        <w:t>The Faculty will p</w:t>
      </w:r>
      <w:r w:rsidR="00BF6BD0">
        <w:rPr>
          <w:rFonts w:cs="Arial"/>
        </w:rPr>
        <w:t>romote active participation in schemes to enhancing mentoring for female and BME staff. Recent examples include:</w:t>
      </w:r>
    </w:p>
    <w:p w:rsidR="00BF6BD0" w:rsidRDefault="00BF6BD0" w:rsidP="00F63847">
      <w:pPr>
        <w:spacing w:after="0" w:line="240" w:lineRule="auto"/>
        <w:jc w:val="both"/>
        <w:rPr>
          <w:rFonts w:cs="Arial"/>
        </w:rPr>
      </w:pPr>
    </w:p>
    <w:p w:rsidR="0020361E" w:rsidRDefault="00BF6BD0" w:rsidP="00BF6BD0">
      <w:pPr>
        <w:pStyle w:val="PlainText"/>
        <w:numPr>
          <w:ilvl w:val="0"/>
          <w:numId w:val="3"/>
        </w:numPr>
      </w:pPr>
      <w:r>
        <w:t xml:space="preserve">Submitted a balanced portfolio of staff as part of the SLMS </w:t>
      </w:r>
      <w:r w:rsidR="0020361E">
        <w:t>Future Fifty: Call for Mentors / Mentees</w:t>
      </w:r>
      <w:r>
        <w:t xml:space="preserve"> (March 2012)</w:t>
      </w:r>
    </w:p>
    <w:p w:rsidR="00F63847" w:rsidRDefault="00F63847" w:rsidP="00F63847">
      <w:pPr>
        <w:spacing w:after="0" w:line="240" w:lineRule="auto"/>
        <w:jc w:val="both"/>
        <w:rPr>
          <w:rFonts w:cs="Arial"/>
        </w:rPr>
      </w:pPr>
    </w:p>
    <w:p w:rsidR="006B6681" w:rsidRPr="00BF6BD0" w:rsidRDefault="006B6681" w:rsidP="00BF6BD0">
      <w:pPr>
        <w:pStyle w:val="ListParagraph"/>
        <w:numPr>
          <w:ilvl w:val="0"/>
          <w:numId w:val="3"/>
        </w:numPr>
        <w:spacing w:after="0" w:line="240" w:lineRule="auto"/>
        <w:jc w:val="both"/>
        <w:rPr>
          <w:lang w:val="en"/>
        </w:rPr>
      </w:pPr>
      <w:r w:rsidRPr="00BF6BD0">
        <w:rPr>
          <w:rFonts w:cs="Arial"/>
        </w:rPr>
        <w:t xml:space="preserve">Promoted participation in the </w:t>
      </w:r>
      <w:r>
        <w:t xml:space="preserve">pan-London mentoring scheme </w:t>
      </w:r>
      <w:r w:rsidR="00BF6BD0">
        <w:t>designed to enhance car</w:t>
      </w:r>
      <w:r w:rsidR="00F90DC7">
        <w:t>e</w:t>
      </w:r>
      <w:r w:rsidR="00BF6BD0">
        <w:t xml:space="preserve">er development opportunities </w:t>
      </w:r>
      <w:r>
        <w:t xml:space="preserve">for academic and research staff from Black and Minority Ethnic backgrounds run in partnership with </w:t>
      </w:r>
      <w:r w:rsidR="00BF6BD0">
        <w:t xml:space="preserve">UCL, </w:t>
      </w:r>
      <w:proofErr w:type="spellStart"/>
      <w:r w:rsidR="00BF6BD0">
        <w:t>IoE</w:t>
      </w:r>
      <w:proofErr w:type="spellEnd"/>
      <w:r w:rsidR="00BF6BD0">
        <w:t>, KCL, QMUL (June 2012)</w:t>
      </w:r>
      <w:r w:rsidRPr="00BF6BD0">
        <w:rPr>
          <w:lang w:val="en"/>
        </w:rPr>
        <w:t>.  </w:t>
      </w:r>
    </w:p>
    <w:p w:rsidR="00F63847" w:rsidRDefault="00F63847" w:rsidP="00F63847">
      <w:pPr>
        <w:spacing w:after="0" w:line="240" w:lineRule="auto"/>
        <w:jc w:val="both"/>
        <w:rPr>
          <w:rFonts w:cs="Arial"/>
        </w:rPr>
      </w:pPr>
    </w:p>
    <w:p w:rsidR="00B614D8" w:rsidRDefault="00B614D8" w:rsidP="00F63847">
      <w:pPr>
        <w:spacing w:after="0" w:line="240" w:lineRule="auto"/>
        <w:jc w:val="both"/>
        <w:rPr>
          <w:rFonts w:cs="Arial"/>
        </w:rPr>
      </w:pPr>
      <w:r>
        <w:rPr>
          <w:rFonts w:cs="Arial"/>
        </w:rPr>
        <w:t xml:space="preserve">We will obtain feedback on our participation in the </w:t>
      </w:r>
      <w:proofErr w:type="spellStart"/>
      <w:r>
        <w:rPr>
          <w:rFonts w:cs="Arial"/>
        </w:rPr>
        <w:t>BMEntor</w:t>
      </w:r>
      <w:proofErr w:type="spellEnd"/>
      <w:r>
        <w:rPr>
          <w:rFonts w:cs="Arial"/>
        </w:rPr>
        <w:t xml:space="preserve"> scheme </w:t>
      </w:r>
      <w:hyperlink r:id="rId9" w:history="1">
        <w:r w:rsidR="00F90DC7" w:rsidRPr="009D3294">
          <w:rPr>
            <w:rStyle w:val="Hyperlink"/>
            <w:rFonts w:cs="Arial"/>
          </w:rPr>
          <w:t>http://www.ucl.ac.uk/hr/equalities/race/BMEntor.php</w:t>
        </w:r>
      </w:hyperlink>
      <w:r w:rsidR="00F90DC7">
        <w:rPr>
          <w:rFonts w:cs="Arial"/>
        </w:rPr>
        <w:t xml:space="preserve"> </w:t>
      </w:r>
      <w:r>
        <w:rPr>
          <w:rFonts w:cs="Arial"/>
        </w:rPr>
        <w:t>and will continue to promote engagement.</w:t>
      </w:r>
    </w:p>
    <w:p w:rsidR="00B614D8" w:rsidRDefault="00B614D8" w:rsidP="00F63847">
      <w:pPr>
        <w:spacing w:after="0" w:line="240" w:lineRule="auto"/>
        <w:jc w:val="both"/>
        <w:rPr>
          <w:rFonts w:cs="Arial"/>
        </w:rPr>
      </w:pPr>
    </w:p>
    <w:p w:rsidR="00B614D8" w:rsidRDefault="00B614D8" w:rsidP="00F63847">
      <w:pPr>
        <w:spacing w:after="0" w:line="240" w:lineRule="auto"/>
        <w:jc w:val="both"/>
        <w:rPr>
          <w:rFonts w:cs="Arial"/>
        </w:rPr>
      </w:pPr>
      <w:r>
        <w:rPr>
          <w:rFonts w:cs="Arial"/>
        </w:rPr>
        <w:t xml:space="preserve">We continue to identify female and BME staff who can benefit from the future fifty leadership </w:t>
      </w:r>
      <w:proofErr w:type="gramStart"/>
      <w:r>
        <w:rPr>
          <w:rFonts w:cs="Arial"/>
        </w:rPr>
        <w:t>programme</w:t>
      </w:r>
      <w:proofErr w:type="gramEnd"/>
      <w:r>
        <w:rPr>
          <w:rFonts w:cs="Arial"/>
        </w:rPr>
        <w:t>.</w:t>
      </w:r>
    </w:p>
    <w:p w:rsidR="00B614D8" w:rsidRDefault="00B614D8" w:rsidP="00F63847">
      <w:pPr>
        <w:spacing w:after="0" w:line="240" w:lineRule="auto"/>
        <w:jc w:val="both"/>
        <w:rPr>
          <w:rFonts w:cs="Arial"/>
        </w:rPr>
      </w:pPr>
    </w:p>
    <w:p w:rsidR="00F90DC7" w:rsidRDefault="00B614D8" w:rsidP="00F63847">
      <w:pPr>
        <w:spacing w:after="0" w:line="240" w:lineRule="auto"/>
        <w:jc w:val="both"/>
        <w:rPr>
          <w:rFonts w:cs="Arial"/>
        </w:rPr>
      </w:pPr>
      <w:r>
        <w:rPr>
          <w:rFonts w:cs="Arial"/>
        </w:rPr>
        <w:t xml:space="preserve">We will promote mentoring of female and BME support staff using initiatives such as the AUA sponsored </w:t>
      </w:r>
      <w:proofErr w:type="spellStart"/>
      <w:r>
        <w:rPr>
          <w:rFonts w:cs="Arial"/>
        </w:rPr>
        <w:t>Share@UCL</w:t>
      </w:r>
      <w:proofErr w:type="spellEnd"/>
      <w:r>
        <w:rPr>
          <w:rFonts w:cs="Arial"/>
        </w:rPr>
        <w:t xml:space="preserve"> scheme devised in PALS.    </w:t>
      </w:r>
    </w:p>
    <w:p w:rsidR="00F90DC7" w:rsidRDefault="00F90DC7" w:rsidP="00F63847">
      <w:pPr>
        <w:spacing w:after="0" w:line="240" w:lineRule="auto"/>
        <w:jc w:val="both"/>
        <w:rPr>
          <w:rFonts w:cs="Arial"/>
        </w:rPr>
      </w:pPr>
    </w:p>
    <w:p w:rsidR="002F359C" w:rsidRDefault="002F359C" w:rsidP="002F359C">
      <w:pPr>
        <w:spacing w:after="0" w:line="240" w:lineRule="auto"/>
        <w:jc w:val="both"/>
        <w:rPr>
          <w:rFonts w:cs="Arial"/>
        </w:rPr>
      </w:pPr>
      <w:r>
        <w:rPr>
          <w:rFonts w:cs="Arial"/>
          <w:i/>
        </w:rPr>
        <w:t>R</w:t>
      </w:r>
      <w:r w:rsidRPr="003344CF">
        <w:rPr>
          <w:rFonts w:cs="Arial"/>
          <w:i/>
        </w:rPr>
        <w:t>esponsibility:</w:t>
      </w:r>
      <w:r>
        <w:rPr>
          <w:rFonts w:cs="Arial"/>
        </w:rPr>
        <w:t xml:space="preserve"> Directors </w:t>
      </w:r>
      <w:r w:rsidR="00006261">
        <w:rPr>
          <w:rFonts w:cs="Arial"/>
        </w:rPr>
        <w:t xml:space="preserve">and Divisional / Institute Manager </w:t>
      </w:r>
      <w:r>
        <w:rPr>
          <w:rFonts w:cs="Arial"/>
        </w:rPr>
        <w:t>by July 2014</w:t>
      </w:r>
    </w:p>
    <w:p w:rsidR="002F359C" w:rsidRDefault="002F359C" w:rsidP="00F63847">
      <w:pPr>
        <w:spacing w:after="0" w:line="240" w:lineRule="auto"/>
        <w:jc w:val="both"/>
        <w:rPr>
          <w:rFonts w:cs="Arial"/>
        </w:rPr>
      </w:pPr>
    </w:p>
    <w:p w:rsidR="00F63847" w:rsidRPr="00F63847" w:rsidRDefault="00F63847" w:rsidP="00F63847">
      <w:pPr>
        <w:spacing w:after="0" w:line="240" w:lineRule="auto"/>
        <w:jc w:val="both"/>
        <w:rPr>
          <w:b/>
        </w:rPr>
      </w:pPr>
      <w:r w:rsidRPr="00F63847">
        <w:rPr>
          <w:rFonts w:cs="Arial"/>
          <w:b/>
        </w:rPr>
        <w:t xml:space="preserve">Student recruitment initiatives </w:t>
      </w:r>
    </w:p>
    <w:p w:rsidR="00F63847" w:rsidRDefault="00F63847" w:rsidP="00F63847">
      <w:pPr>
        <w:spacing w:after="0" w:line="240" w:lineRule="auto"/>
        <w:jc w:val="both"/>
        <w:rPr>
          <w:rFonts w:cs="Arial"/>
        </w:rPr>
      </w:pPr>
    </w:p>
    <w:p w:rsidR="00B90342" w:rsidRDefault="00B90342" w:rsidP="00B90342">
      <w:pPr>
        <w:spacing w:after="0" w:line="240" w:lineRule="auto"/>
        <w:jc w:val="both"/>
        <w:rPr>
          <w:rFonts w:cs="Arial"/>
        </w:rPr>
      </w:pPr>
      <w:r w:rsidRPr="00006261">
        <w:rPr>
          <w:rFonts w:cs="Arial"/>
          <w:b/>
          <w:i/>
        </w:rPr>
        <w:t>Objective:</w:t>
      </w:r>
      <w:r w:rsidRPr="00006261">
        <w:rPr>
          <w:rFonts w:cs="Arial"/>
          <w:i/>
        </w:rPr>
        <w:t xml:space="preserve"> </w:t>
      </w:r>
      <w:r>
        <w:rPr>
          <w:rFonts w:ascii="Calibri" w:hAnsi="Calibri" w:cs="Calibri"/>
          <w:i/>
          <w:iCs/>
        </w:rPr>
        <w:t>T</w:t>
      </w:r>
      <w:r w:rsidRPr="008400A6">
        <w:rPr>
          <w:rFonts w:ascii="Calibri" w:hAnsi="Calibri" w:cs="Calibri"/>
          <w:i/>
          <w:iCs/>
        </w:rPr>
        <w:t>o increase the</w:t>
      </w:r>
      <w:r>
        <w:rPr>
          <w:rFonts w:ascii="Calibri" w:hAnsi="Calibri" w:cs="Calibri"/>
          <w:i/>
          <w:iCs/>
        </w:rPr>
        <w:t xml:space="preserve"> proportion of UK-domiciled </w:t>
      </w:r>
      <w:r w:rsidRPr="008400A6">
        <w:rPr>
          <w:rFonts w:ascii="Calibri" w:hAnsi="Calibri" w:cs="Calibri"/>
          <w:i/>
          <w:iCs/>
        </w:rPr>
        <w:t>students from under-represented target group</w:t>
      </w:r>
      <w:r>
        <w:rPr>
          <w:rFonts w:ascii="Calibri" w:hAnsi="Calibri" w:cs="Calibri"/>
          <w:i/>
          <w:iCs/>
        </w:rPr>
        <w:t>s e.g. State schools and neighbourhoods where there is underrepresentation of involvement in higher education (LPN) and BME groups</w:t>
      </w:r>
      <w:r w:rsidRPr="008400A6">
        <w:rPr>
          <w:rFonts w:ascii="Calibri" w:hAnsi="Calibri" w:cs="Calibri"/>
        </w:rPr>
        <w:t xml:space="preserve"> – to continue to support UCL’s work on Widening Participation </w:t>
      </w:r>
      <w:r>
        <w:rPr>
          <w:rFonts w:ascii="Calibri" w:hAnsi="Calibri" w:cs="Calibri"/>
        </w:rPr>
        <w:t>in relation to enrolling students from state schools and low participation neighbourhoods.</w:t>
      </w:r>
      <w:r w:rsidRPr="002028C7">
        <w:rPr>
          <w:rFonts w:cs="Arial"/>
        </w:rPr>
        <w:t xml:space="preserve"> </w:t>
      </w:r>
    </w:p>
    <w:p w:rsidR="00B90342" w:rsidRDefault="00B90342" w:rsidP="00B90342">
      <w:pPr>
        <w:spacing w:after="0" w:line="240" w:lineRule="auto"/>
        <w:jc w:val="both"/>
        <w:rPr>
          <w:rFonts w:cs="Arial"/>
        </w:rPr>
      </w:pPr>
    </w:p>
    <w:p w:rsidR="00B90342" w:rsidRDefault="00B90342" w:rsidP="00B90342">
      <w:pPr>
        <w:spacing w:after="0" w:line="240" w:lineRule="auto"/>
        <w:jc w:val="both"/>
        <w:rPr>
          <w:rFonts w:cs="Arial"/>
        </w:rPr>
      </w:pPr>
      <w:r>
        <w:rPr>
          <w:rFonts w:cs="Arial"/>
          <w:i/>
        </w:rPr>
        <w:t>R</w:t>
      </w:r>
      <w:r w:rsidRPr="003344CF">
        <w:rPr>
          <w:rFonts w:cs="Arial"/>
          <w:i/>
        </w:rPr>
        <w:t>esponsibility:</w:t>
      </w:r>
      <w:r>
        <w:rPr>
          <w:rFonts w:cs="Arial"/>
          <w:i/>
        </w:rPr>
        <w:t xml:space="preserve"> </w:t>
      </w:r>
      <w:r w:rsidRPr="008400A6">
        <w:rPr>
          <w:rFonts w:ascii="Calibri" w:hAnsi="Calibri" w:cs="Calibri"/>
        </w:rPr>
        <w:t>Faculty Tutor and Vice-Dean Education</w:t>
      </w:r>
    </w:p>
    <w:p w:rsidR="00B90342" w:rsidRDefault="00B90342" w:rsidP="00B90342">
      <w:pPr>
        <w:spacing w:after="0" w:line="240" w:lineRule="auto"/>
        <w:jc w:val="both"/>
        <w:rPr>
          <w:rFonts w:cs="Arial"/>
        </w:rPr>
      </w:pPr>
    </w:p>
    <w:p w:rsidR="00B90342" w:rsidRDefault="00B90342" w:rsidP="00B90342">
      <w:pPr>
        <w:spacing w:after="0" w:line="240" w:lineRule="auto"/>
        <w:jc w:val="both"/>
        <w:rPr>
          <w:rFonts w:cs="Arial"/>
        </w:rPr>
      </w:pPr>
      <w:r>
        <w:rPr>
          <w:rFonts w:cs="Arial"/>
        </w:rPr>
        <w:t xml:space="preserve">The newly appointed Faculty Tutor is working closely with the Outreach office and undergraduate admissions tutors to meet the ambitious targets set in agreement with OFFA in relation to enrolling students from state schools and low participation neighbourhoods (LPN). For 2012 entry onto undergraduate programmes, the overall percentage of students from state schools was 71.6% which was an increase on 2011 where the comparative percentage was 67%.  Specifically, although applications to the undergraduate programmes met the LPN target, we need to improve the conversion to enrolments which falls below the target. The overall target to meet for state school enrolment by 2017 is 79.2%, which is challenging given the very high entry criteria to our undergraduate programmes. In order to reach this target the Faculty is involved in a number of summer schools, school visits and other outreach activities specifically targeted at high achieving pupils in state schools in low participation neighbourhoods. We are also exploring support mechanisms to continue supporting such students during their degree programmes. </w:t>
      </w:r>
    </w:p>
    <w:p w:rsidR="00B90342" w:rsidRDefault="00B90342" w:rsidP="00B90342">
      <w:pPr>
        <w:spacing w:after="0" w:line="240" w:lineRule="auto"/>
        <w:jc w:val="both"/>
        <w:rPr>
          <w:rFonts w:cs="Arial"/>
        </w:rPr>
      </w:pPr>
    </w:p>
    <w:p w:rsidR="00B90342" w:rsidRDefault="00B90342" w:rsidP="00B90342">
      <w:pPr>
        <w:spacing w:after="0" w:line="240" w:lineRule="auto"/>
        <w:jc w:val="both"/>
        <w:rPr>
          <w:rFonts w:cs="Arial"/>
        </w:rPr>
      </w:pPr>
      <w:r>
        <w:rPr>
          <w:rFonts w:cs="Arial"/>
        </w:rPr>
        <w:t xml:space="preserve">For 2013 entry, changes were made to </w:t>
      </w:r>
      <w:proofErr w:type="gramStart"/>
      <w:r>
        <w:rPr>
          <w:rFonts w:cs="Arial"/>
        </w:rPr>
        <w:t>Open</w:t>
      </w:r>
      <w:proofErr w:type="gramEnd"/>
      <w:r>
        <w:rPr>
          <w:rFonts w:cs="Arial"/>
        </w:rPr>
        <w:t xml:space="preserve"> days to facilitate the conversion of applications from state schools and low participation neighbourhoods. These changes included specific talks on careers </w:t>
      </w:r>
      <w:r>
        <w:rPr>
          <w:rFonts w:cs="Arial"/>
        </w:rPr>
        <w:lastRenderedPageBreak/>
        <w:t>and employability, talks to parents and guardians with regards to fees and the financial support available to students from lower income backgrounds and a Saturday open event.  This has resulted in an increased overall percentage of firm acceptances from state school applicants of 81% so far against a target of 73% and for low participation neighbourhoods of 12.1% against a target of 3%, so this is encouraging.</w:t>
      </w:r>
    </w:p>
    <w:p w:rsidR="00B90342" w:rsidRPr="00453B65" w:rsidRDefault="00B90342" w:rsidP="00B90342">
      <w:pPr>
        <w:pStyle w:val="BodyText"/>
        <w:jc w:val="left"/>
        <w:rPr>
          <w:rFonts w:asciiTheme="minorHAnsi" w:hAnsiTheme="minorHAnsi" w:cstheme="minorHAnsi"/>
          <w:sz w:val="22"/>
          <w:szCs w:val="22"/>
        </w:rPr>
      </w:pPr>
    </w:p>
    <w:p w:rsidR="00B90342" w:rsidRDefault="00B90342" w:rsidP="00B90342">
      <w:pPr>
        <w:spacing w:after="0" w:line="240" w:lineRule="auto"/>
        <w:jc w:val="both"/>
        <w:rPr>
          <w:rFonts w:cs="Arial"/>
        </w:rPr>
      </w:pPr>
      <w:r w:rsidRPr="00006261">
        <w:rPr>
          <w:rFonts w:cs="Arial"/>
          <w:b/>
          <w:i/>
        </w:rPr>
        <w:t>Objective:</w:t>
      </w:r>
      <w:r w:rsidRPr="00006261">
        <w:rPr>
          <w:rFonts w:cs="Arial"/>
          <w:i/>
        </w:rPr>
        <w:t xml:space="preserve"> </w:t>
      </w:r>
      <w:r>
        <w:rPr>
          <w:rFonts w:ascii="Calibri" w:hAnsi="Calibri" w:cs="Calibri"/>
          <w:i/>
          <w:iCs/>
        </w:rPr>
        <w:t>T</w:t>
      </w:r>
      <w:r w:rsidRPr="008400A6">
        <w:rPr>
          <w:rFonts w:ascii="Calibri" w:hAnsi="Calibri" w:cs="Calibri"/>
          <w:i/>
          <w:iCs/>
        </w:rPr>
        <w:t>o</w:t>
      </w:r>
      <w:r>
        <w:rPr>
          <w:rFonts w:ascii="Calibri" w:hAnsi="Calibri" w:cs="Calibri"/>
          <w:i/>
          <w:iCs/>
        </w:rPr>
        <w:t xml:space="preserve"> improve attainment of British BME Students and students from state schools and low participation neighbourhoods at UCL by: </w:t>
      </w:r>
      <w:r w:rsidRPr="00AC6F98">
        <w:rPr>
          <w:rFonts w:ascii="Calibri" w:hAnsi="Calibri" w:cs="Calibri"/>
          <w:iCs/>
        </w:rPr>
        <w:t>(i)</w:t>
      </w:r>
      <w:r>
        <w:rPr>
          <w:rFonts w:ascii="Calibri" w:hAnsi="Calibri" w:cs="Calibri"/>
          <w:i/>
          <w:iCs/>
        </w:rPr>
        <w:t xml:space="preserve"> </w:t>
      </w:r>
      <w:r>
        <w:rPr>
          <w:rFonts w:cs="Arial"/>
        </w:rPr>
        <w:t xml:space="preserve">Promoting informed discussion of degree attainment at faculty, departmental and programme level (ii) Acceptance of the need to reduce the attainment gap with visible leadership (iii) pilot initiatives and share good practice and (iv) engage with VP Education to understand the role of the overall student experience and life cycle </w:t>
      </w:r>
      <w:r w:rsidR="006360A9">
        <w:rPr>
          <w:rFonts w:cs="Arial"/>
        </w:rPr>
        <w:t>[Note: Think Piece paper by Anthony Finkelstein].</w:t>
      </w:r>
      <w:r>
        <w:rPr>
          <w:rFonts w:cs="Arial"/>
        </w:rPr>
        <w:t xml:space="preserve"> </w:t>
      </w:r>
    </w:p>
    <w:p w:rsidR="00B614D8" w:rsidRDefault="00B614D8" w:rsidP="00F63847">
      <w:pPr>
        <w:spacing w:after="0" w:line="240" w:lineRule="auto"/>
        <w:jc w:val="both"/>
        <w:rPr>
          <w:rFonts w:cs="Arial"/>
        </w:rPr>
      </w:pPr>
    </w:p>
    <w:p w:rsidR="00B90342" w:rsidRDefault="00B90342" w:rsidP="00B90342">
      <w:pPr>
        <w:spacing w:after="0" w:line="240" w:lineRule="auto"/>
        <w:jc w:val="both"/>
        <w:rPr>
          <w:rFonts w:cs="Arial"/>
        </w:rPr>
      </w:pPr>
      <w:r>
        <w:rPr>
          <w:rFonts w:cs="Arial"/>
          <w:i/>
        </w:rPr>
        <w:t>R</w:t>
      </w:r>
      <w:r w:rsidRPr="003344CF">
        <w:rPr>
          <w:rFonts w:cs="Arial"/>
          <w:i/>
        </w:rPr>
        <w:t>esponsibility:</w:t>
      </w:r>
      <w:r>
        <w:rPr>
          <w:rFonts w:cs="Arial"/>
          <w:i/>
        </w:rPr>
        <w:t xml:space="preserve"> </w:t>
      </w:r>
      <w:r w:rsidRPr="008400A6">
        <w:rPr>
          <w:rFonts w:ascii="Calibri" w:hAnsi="Calibri" w:cs="Calibri"/>
        </w:rPr>
        <w:t>Faculty Tutor and Vice-Dean Education</w:t>
      </w:r>
    </w:p>
    <w:p w:rsidR="00B90342" w:rsidRDefault="00B90342" w:rsidP="00F63847">
      <w:pPr>
        <w:spacing w:after="0" w:line="240" w:lineRule="auto"/>
        <w:jc w:val="both"/>
        <w:rPr>
          <w:rFonts w:cs="Arial"/>
        </w:rPr>
      </w:pPr>
    </w:p>
    <w:p w:rsidR="00F63847" w:rsidRPr="00F63847" w:rsidRDefault="00F63847" w:rsidP="00F63847">
      <w:pPr>
        <w:spacing w:after="0" w:line="240" w:lineRule="auto"/>
        <w:jc w:val="both"/>
        <w:rPr>
          <w:b/>
        </w:rPr>
      </w:pPr>
      <w:proofErr w:type="gramStart"/>
      <w:r w:rsidRPr="00F63847">
        <w:rPr>
          <w:rFonts w:cs="Arial"/>
          <w:b/>
        </w:rPr>
        <w:t>Improvement on key E&amp;D targets.</w:t>
      </w:r>
      <w:proofErr w:type="gramEnd"/>
    </w:p>
    <w:p w:rsidR="00F63847" w:rsidRDefault="00F63847" w:rsidP="00406283">
      <w:pPr>
        <w:spacing w:after="0" w:line="240" w:lineRule="auto"/>
        <w:jc w:val="both"/>
      </w:pPr>
    </w:p>
    <w:p w:rsidR="00450AFB" w:rsidRDefault="00450AFB" w:rsidP="00450AFB">
      <w:pPr>
        <w:spacing w:after="0" w:line="240" w:lineRule="auto"/>
      </w:pPr>
      <w:r>
        <w:t>The HR Policy Committee Key Workforce Indicators report (February 2013) showed that:</w:t>
      </w:r>
    </w:p>
    <w:p w:rsidR="00450AFB" w:rsidRDefault="00450AFB" w:rsidP="00450AFB">
      <w:pPr>
        <w:spacing w:after="0" w:line="240" w:lineRule="auto"/>
      </w:pPr>
    </w:p>
    <w:p w:rsidR="00450AFB" w:rsidRDefault="00450AFB" w:rsidP="00450AFB">
      <w:pPr>
        <w:pStyle w:val="ListParagraph"/>
        <w:numPr>
          <w:ilvl w:val="0"/>
          <w:numId w:val="5"/>
        </w:numPr>
        <w:spacing w:after="0" w:line="240" w:lineRule="auto"/>
        <w:jc w:val="both"/>
      </w:pPr>
      <w:r>
        <w:t xml:space="preserve">In 2012 the Faculty has 701 female employees accounting for 54%, which is an increase on 643 staff being 53% in 2011. Women at grades 9 and 10 increased from 98 (34% in 2011) to 106 (35% in 2012). </w:t>
      </w:r>
    </w:p>
    <w:p w:rsidR="00450AFB" w:rsidRDefault="00450AFB" w:rsidP="00450AFB">
      <w:pPr>
        <w:spacing w:after="0" w:line="240" w:lineRule="auto"/>
        <w:jc w:val="both"/>
      </w:pPr>
    </w:p>
    <w:p w:rsidR="00450AFB" w:rsidRDefault="00450AFB" w:rsidP="00450AFB">
      <w:pPr>
        <w:pStyle w:val="ListParagraph"/>
        <w:numPr>
          <w:ilvl w:val="0"/>
          <w:numId w:val="5"/>
        </w:numPr>
        <w:spacing w:after="0" w:line="240" w:lineRule="auto"/>
        <w:jc w:val="both"/>
      </w:pPr>
      <w:r>
        <w:t>BME staff at all grades increased from 194 staff (16%) in 2011 to 215 employees 17% in 2012 with a similar improvement in Grade 1-8. We are tracking the % of BME staff recruited by monitoring application, shortlisting and appointment data.</w:t>
      </w:r>
    </w:p>
    <w:p w:rsidR="00450AFB" w:rsidRDefault="00450AFB" w:rsidP="00450AFB">
      <w:pPr>
        <w:spacing w:after="0" w:line="240" w:lineRule="auto"/>
        <w:jc w:val="both"/>
      </w:pPr>
    </w:p>
    <w:p w:rsidR="00450AFB" w:rsidRDefault="00450AFB" w:rsidP="00450AFB">
      <w:pPr>
        <w:pStyle w:val="ListParagraph"/>
        <w:numPr>
          <w:ilvl w:val="0"/>
          <w:numId w:val="5"/>
        </w:numPr>
        <w:spacing w:after="0" w:line="240" w:lineRule="auto"/>
        <w:jc w:val="both"/>
      </w:pPr>
      <w:r>
        <w:t>Disability Disclosure also increased from 31 in 2011 to 38 in 2012.</w:t>
      </w:r>
    </w:p>
    <w:p w:rsidR="00450AFB" w:rsidRDefault="00450AFB" w:rsidP="00406283">
      <w:pPr>
        <w:spacing w:after="0" w:line="240" w:lineRule="auto"/>
        <w:jc w:val="both"/>
      </w:pPr>
    </w:p>
    <w:p w:rsidR="00BF6BD0" w:rsidRDefault="00B90342" w:rsidP="00406283">
      <w:pPr>
        <w:spacing w:after="0" w:line="240" w:lineRule="auto"/>
        <w:jc w:val="both"/>
      </w:pPr>
      <w:r w:rsidRPr="00006261">
        <w:rPr>
          <w:rFonts w:cs="Arial"/>
          <w:b/>
          <w:i/>
        </w:rPr>
        <w:t>Objective</w:t>
      </w:r>
      <w:r>
        <w:rPr>
          <w:rFonts w:cs="Arial"/>
          <w:b/>
          <w:i/>
        </w:rPr>
        <w:t>s</w:t>
      </w:r>
      <w:r w:rsidRPr="00006261">
        <w:rPr>
          <w:rFonts w:cs="Arial"/>
          <w:b/>
          <w:i/>
        </w:rPr>
        <w:t>:</w:t>
      </w:r>
      <w:r w:rsidRPr="00006261">
        <w:rPr>
          <w:rFonts w:cs="Arial"/>
          <w:i/>
        </w:rPr>
        <w:t xml:space="preserve"> </w:t>
      </w:r>
      <w:r w:rsidR="00BF6BD0">
        <w:t xml:space="preserve">The key </w:t>
      </w:r>
      <w:r>
        <w:t xml:space="preserve">Faculty </w:t>
      </w:r>
      <w:r w:rsidR="00BF6BD0">
        <w:t>targets set as part of the UCL E&amp;D Strategy are to:</w:t>
      </w:r>
    </w:p>
    <w:p w:rsidR="00BF6BD0" w:rsidRDefault="00BF6BD0" w:rsidP="00406283">
      <w:pPr>
        <w:spacing w:after="0" w:line="240" w:lineRule="auto"/>
        <w:jc w:val="both"/>
      </w:pPr>
    </w:p>
    <w:p w:rsidR="00ED0EA3" w:rsidRPr="00ED0EA3" w:rsidRDefault="00BF6BD0" w:rsidP="00ED0EA3">
      <w:pPr>
        <w:pStyle w:val="BodyText"/>
        <w:numPr>
          <w:ilvl w:val="0"/>
          <w:numId w:val="4"/>
        </w:numPr>
        <w:jc w:val="left"/>
        <w:rPr>
          <w:rFonts w:asciiTheme="minorHAnsi" w:hAnsiTheme="minorHAnsi" w:cstheme="minorHAnsi"/>
          <w:sz w:val="22"/>
          <w:szCs w:val="22"/>
        </w:rPr>
      </w:pPr>
      <w:r w:rsidRPr="008400A6">
        <w:rPr>
          <w:rFonts w:ascii="Calibri" w:hAnsi="Calibri" w:cs="Calibri"/>
          <w:i/>
          <w:iCs/>
          <w:sz w:val="22"/>
          <w:szCs w:val="22"/>
        </w:rPr>
        <w:t>To advance women’s careers at UCL</w:t>
      </w:r>
      <w:r w:rsidRPr="008400A6">
        <w:rPr>
          <w:rFonts w:ascii="Calibri" w:hAnsi="Calibri" w:cs="Calibri"/>
          <w:sz w:val="22"/>
          <w:szCs w:val="22"/>
        </w:rPr>
        <w:t xml:space="preserve">– by means of mentoring and other developmental programmes so that UCL moves towards its </w:t>
      </w:r>
      <w:r w:rsidRPr="00ED0EA3">
        <w:rPr>
          <w:rFonts w:ascii="Calibri" w:hAnsi="Calibri" w:cs="Calibri"/>
          <w:b/>
          <w:sz w:val="22"/>
          <w:szCs w:val="22"/>
        </w:rPr>
        <w:t>Gender Equality Target of getting 50:50 men and women into grades 9 &amp;10</w:t>
      </w:r>
      <w:r w:rsidRPr="008400A6">
        <w:rPr>
          <w:rFonts w:ascii="Calibri" w:hAnsi="Calibri" w:cs="Calibri"/>
          <w:sz w:val="22"/>
          <w:szCs w:val="22"/>
        </w:rPr>
        <w:t xml:space="preserve"> </w:t>
      </w:r>
      <w:r w:rsidRPr="00ED0EA3">
        <w:rPr>
          <w:rFonts w:ascii="Calibri" w:hAnsi="Calibri" w:cs="Calibri"/>
          <w:b/>
          <w:sz w:val="22"/>
          <w:szCs w:val="22"/>
        </w:rPr>
        <w:t>by at least 1% each year</w:t>
      </w:r>
      <w:r w:rsidRPr="008400A6">
        <w:rPr>
          <w:rFonts w:ascii="Calibri" w:hAnsi="Calibri" w:cs="Calibri"/>
          <w:sz w:val="22"/>
          <w:szCs w:val="22"/>
        </w:rPr>
        <w:t>;</w:t>
      </w:r>
    </w:p>
    <w:p w:rsidR="00ED0EA3" w:rsidRDefault="00ED0EA3" w:rsidP="00ED0EA3">
      <w:pPr>
        <w:pStyle w:val="BodyText"/>
        <w:ind w:left="720"/>
        <w:jc w:val="left"/>
        <w:rPr>
          <w:rFonts w:asciiTheme="minorHAnsi" w:hAnsiTheme="minorHAnsi" w:cstheme="minorHAnsi"/>
          <w:sz w:val="22"/>
          <w:szCs w:val="22"/>
        </w:rPr>
      </w:pPr>
    </w:p>
    <w:p w:rsidR="00ED0EA3" w:rsidRPr="00ED0EA3" w:rsidRDefault="00ED0EA3" w:rsidP="00ED0EA3">
      <w:pPr>
        <w:pStyle w:val="BodyText"/>
        <w:numPr>
          <w:ilvl w:val="0"/>
          <w:numId w:val="4"/>
        </w:numPr>
        <w:jc w:val="left"/>
        <w:rPr>
          <w:rFonts w:asciiTheme="minorHAnsi" w:hAnsiTheme="minorHAnsi" w:cstheme="minorHAnsi"/>
          <w:sz w:val="22"/>
          <w:szCs w:val="22"/>
        </w:rPr>
      </w:pPr>
      <w:r w:rsidRPr="00ED0EA3">
        <w:rPr>
          <w:rFonts w:ascii="Calibri" w:hAnsi="Calibri" w:cs="Calibri"/>
          <w:i/>
          <w:iCs/>
          <w:sz w:val="22"/>
          <w:szCs w:val="22"/>
        </w:rPr>
        <w:t xml:space="preserve">To recruit a more ethnically diverse staff body </w:t>
      </w:r>
      <w:r w:rsidRPr="00ED0EA3">
        <w:rPr>
          <w:rFonts w:ascii="Calibri" w:hAnsi="Calibri" w:cs="Calibri"/>
          <w:sz w:val="22"/>
          <w:szCs w:val="22"/>
        </w:rPr>
        <w:t>– benchmarked against the Greater London workforce comprising 31% BME staff at grades 1-8.</w:t>
      </w:r>
      <w:r w:rsidR="006360A9">
        <w:rPr>
          <w:rFonts w:ascii="Calibri" w:hAnsi="Calibri" w:cs="Calibri"/>
          <w:sz w:val="22"/>
          <w:szCs w:val="22"/>
        </w:rPr>
        <w:t xml:space="preserve"> We will review disparities in data from recruitment cycles and look into improving BME panel representation.</w:t>
      </w:r>
    </w:p>
    <w:p w:rsidR="00ED0EA3" w:rsidRDefault="00ED0EA3" w:rsidP="00ED0EA3">
      <w:pPr>
        <w:spacing w:after="0" w:line="240" w:lineRule="auto"/>
        <w:rPr>
          <w:rFonts w:cstheme="minorHAnsi"/>
        </w:rPr>
      </w:pPr>
    </w:p>
    <w:p w:rsidR="00BF6BD0" w:rsidRPr="00B90342" w:rsidRDefault="00ED0EA3" w:rsidP="00ED0EA3">
      <w:pPr>
        <w:pStyle w:val="ListParagraph"/>
        <w:numPr>
          <w:ilvl w:val="0"/>
          <w:numId w:val="4"/>
        </w:numPr>
        <w:spacing w:after="0" w:line="240" w:lineRule="auto"/>
      </w:pPr>
      <w:r w:rsidRPr="00ED0EA3">
        <w:rPr>
          <w:i/>
          <w:iCs/>
        </w:rPr>
        <w:t xml:space="preserve">To enhance career development opportunities for BME staff – </w:t>
      </w:r>
      <w:r w:rsidRPr="00ED0EA3">
        <w:rPr>
          <w:iCs/>
        </w:rPr>
        <w:t>to improve the representation of BME staff at senior grades</w:t>
      </w:r>
      <w:r>
        <w:rPr>
          <w:iCs/>
        </w:rPr>
        <w:t>.</w:t>
      </w:r>
    </w:p>
    <w:p w:rsidR="00B90342" w:rsidRDefault="00B90342" w:rsidP="00B90342">
      <w:pPr>
        <w:pStyle w:val="ListParagraph"/>
      </w:pPr>
    </w:p>
    <w:p w:rsidR="00B90342" w:rsidRPr="00B90342" w:rsidRDefault="00B90342" w:rsidP="00B90342">
      <w:pPr>
        <w:pStyle w:val="ListParagraph"/>
        <w:numPr>
          <w:ilvl w:val="0"/>
          <w:numId w:val="4"/>
        </w:numPr>
        <w:spacing w:after="0" w:line="240" w:lineRule="auto"/>
      </w:pPr>
      <w:r w:rsidRPr="00450AFB">
        <w:rPr>
          <w:i/>
          <w:iCs/>
        </w:rPr>
        <w:t xml:space="preserve">To promote a climate of openness for lesbian, gay, bisexual and transgendered (LGBT) staff </w:t>
      </w:r>
      <w:r>
        <w:t xml:space="preserve">– </w:t>
      </w:r>
      <w:r w:rsidRPr="00450AFB">
        <w:rPr>
          <w:bCs/>
        </w:rPr>
        <w:t xml:space="preserve">in order for UCL to remain in the Top 100 of </w:t>
      </w:r>
      <w:proofErr w:type="spellStart"/>
      <w:r w:rsidRPr="00450AFB">
        <w:rPr>
          <w:bCs/>
        </w:rPr>
        <w:t>Stonewall’s</w:t>
      </w:r>
      <w:proofErr w:type="spellEnd"/>
      <w:r w:rsidRPr="00450AFB">
        <w:rPr>
          <w:bCs/>
        </w:rPr>
        <w:t xml:space="preserve"> Workplace Equality Index</w:t>
      </w:r>
      <w:r>
        <w:t xml:space="preserve"> by ensuring that LGBT staff are not disadvantaged in terms of employment, representation or promotion.</w:t>
      </w:r>
      <w:r w:rsidRPr="00450AFB">
        <w:rPr>
          <w:b/>
          <w:bCs/>
        </w:rPr>
        <w:t xml:space="preserve">  </w:t>
      </w:r>
    </w:p>
    <w:p w:rsidR="00B90342" w:rsidRDefault="00B90342" w:rsidP="00B90342">
      <w:pPr>
        <w:spacing w:after="0" w:line="240" w:lineRule="auto"/>
        <w:jc w:val="both"/>
        <w:rPr>
          <w:rFonts w:cs="Arial"/>
          <w:i/>
        </w:rPr>
      </w:pPr>
    </w:p>
    <w:p w:rsidR="00B90342" w:rsidRDefault="00B90342" w:rsidP="00B90342">
      <w:pPr>
        <w:spacing w:after="0" w:line="240" w:lineRule="auto"/>
        <w:jc w:val="both"/>
        <w:rPr>
          <w:rFonts w:cs="Arial"/>
        </w:rPr>
      </w:pPr>
      <w:r>
        <w:rPr>
          <w:rFonts w:cs="Arial"/>
          <w:i/>
        </w:rPr>
        <w:t>R</w:t>
      </w:r>
      <w:r w:rsidRPr="003344CF">
        <w:rPr>
          <w:rFonts w:cs="Arial"/>
          <w:i/>
        </w:rPr>
        <w:t>esponsibility:</w:t>
      </w:r>
      <w:r>
        <w:rPr>
          <w:rFonts w:cs="Arial"/>
        </w:rPr>
        <w:t xml:space="preserve"> Directors and Divisional / Institute Manager by July 2014</w:t>
      </w:r>
    </w:p>
    <w:p w:rsidR="00B90342" w:rsidRDefault="00B90342" w:rsidP="00C64BA2">
      <w:pPr>
        <w:pStyle w:val="ListParagraph"/>
      </w:pPr>
    </w:p>
    <w:p w:rsidR="00450AFB" w:rsidRDefault="00C64BA2" w:rsidP="00450AFB">
      <w:pPr>
        <w:pStyle w:val="ListParagraph"/>
        <w:numPr>
          <w:ilvl w:val="0"/>
          <w:numId w:val="4"/>
        </w:numPr>
        <w:spacing w:after="0" w:line="240" w:lineRule="auto"/>
      </w:pPr>
      <w:r w:rsidRPr="00450AFB">
        <w:rPr>
          <w:i/>
          <w:iCs/>
        </w:rPr>
        <w:t>To enhance reporting and disability and to establish better support arrangements in areas where there is faculty expertise</w:t>
      </w:r>
      <w:r w:rsidR="00450AFB" w:rsidRPr="00450AFB">
        <w:rPr>
          <w:i/>
          <w:iCs/>
        </w:rPr>
        <w:t xml:space="preserve"> (e.g. </w:t>
      </w:r>
      <w:r w:rsidR="00450AFB">
        <w:t xml:space="preserve">mental health, visual and hearing impairment) </w:t>
      </w:r>
    </w:p>
    <w:p w:rsidR="00450AFB" w:rsidRDefault="00450AFB" w:rsidP="00450AFB">
      <w:pPr>
        <w:spacing w:after="0" w:line="240" w:lineRule="auto"/>
      </w:pPr>
    </w:p>
    <w:p w:rsidR="00450AFB" w:rsidRPr="0041792D" w:rsidRDefault="00450AFB" w:rsidP="00450AFB">
      <w:pPr>
        <w:pStyle w:val="ListParagraph"/>
        <w:numPr>
          <w:ilvl w:val="0"/>
          <w:numId w:val="4"/>
        </w:numPr>
        <w:spacing w:after="0" w:line="240" w:lineRule="auto"/>
      </w:pPr>
      <w:r w:rsidRPr="00450AFB">
        <w:rPr>
          <w:i/>
          <w:iCs/>
        </w:rPr>
        <w:t xml:space="preserve">To increase awareness and support for people with mental health problems – </w:t>
      </w:r>
      <w:r>
        <w:t xml:space="preserve">by encouraging openness and providing support in mentoring schemes (note: 28% of UCL staff recorded with long-term sickness absence are classified as having a mental health problem). </w:t>
      </w:r>
    </w:p>
    <w:p w:rsidR="00B90342" w:rsidRDefault="00B90342" w:rsidP="00B90342">
      <w:pPr>
        <w:spacing w:after="0" w:line="240" w:lineRule="auto"/>
        <w:rPr>
          <w:rFonts w:cs="Arial"/>
          <w:i/>
        </w:rPr>
      </w:pPr>
    </w:p>
    <w:p w:rsidR="00B90342" w:rsidRDefault="00B90342" w:rsidP="00B90342">
      <w:pPr>
        <w:spacing w:after="0" w:line="240" w:lineRule="auto"/>
      </w:pPr>
      <w:r>
        <w:rPr>
          <w:rFonts w:cs="Arial"/>
          <w:i/>
        </w:rPr>
        <w:t>R</w:t>
      </w:r>
      <w:r w:rsidRPr="003344CF">
        <w:rPr>
          <w:rFonts w:cs="Arial"/>
          <w:i/>
        </w:rPr>
        <w:t>esponsibility:</w:t>
      </w:r>
      <w:r>
        <w:rPr>
          <w:rFonts w:cs="Arial"/>
        </w:rPr>
        <w:t xml:space="preserve"> FET representatives Peter Fonagy &amp; Michael King (Mental Health); Phil Luthert (Vision) and David </w:t>
      </w:r>
      <w:proofErr w:type="spellStart"/>
      <w:r>
        <w:rPr>
          <w:rFonts w:cs="Arial"/>
        </w:rPr>
        <w:t>McAlpine</w:t>
      </w:r>
      <w:proofErr w:type="spellEnd"/>
      <w:r>
        <w:rPr>
          <w:rFonts w:cs="Arial"/>
        </w:rPr>
        <w:t xml:space="preserve"> (Ear)</w:t>
      </w:r>
      <w:r w:rsidR="006360A9">
        <w:rPr>
          <w:rFonts w:cs="Arial"/>
        </w:rPr>
        <w:t>.</w:t>
      </w:r>
    </w:p>
    <w:sectPr w:rsidR="00B9034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261" w:rsidRDefault="00006261" w:rsidP="00A37B80">
      <w:pPr>
        <w:spacing w:after="0" w:line="240" w:lineRule="auto"/>
      </w:pPr>
      <w:r>
        <w:separator/>
      </w:r>
    </w:p>
  </w:endnote>
  <w:endnote w:type="continuationSeparator" w:id="0">
    <w:p w:rsidR="00006261" w:rsidRDefault="00006261" w:rsidP="00A37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261" w:rsidRDefault="00006261">
    <w:pPr>
      <w:pStyle w:val="Footer"/>
    </w:pPr>
    <w:r>
      <w:ptab w:relativeTo="margin" w:alignment="center" w:leader="none"/>
    </w:r>
    <w:r>
      <w:fldChar w:fldCharType="begin"/>
    </w:r>
    <w:r>
      <w:instrText xml:space="preserve"> PAGE   \* MERGEFORMAT </w:instrText>
    </w:r>
    <w:r>
      <w:fldChar w:fldCharType="separate"/>
    </w:r>
    <w:r w:rsidR="00431E07">
      <w:rPr>
        <w:noProof/>
      </w:rPr>
      <w:t>1</w:t>
    </w:r>
    <w:r>
      <w:rPr>
        <w:noProof/>
      </w:rPr>
      <w:fldChar w:fldCharType="end"/>
    </w:r>
    <w:r>
      <w:ptab w:relativeTo="margin" w:alignment="right" w:leader="none"/>
    </w:r>
    <w:r>
      <w:t>4</w:t>
    </w:r>
    <w:r w:rsidRPr="004057AD">
      <w:rPr>
        <w:vertAlign w:val="superscript"/>
      </w:rPr>
      <w:t>th</w:t>
    </w:r>
    <w:r>
      <w:t xml:space="preserve"> June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261" w:rsidRDefault="00006261" w:rsidP="00A37B80">
      <w:pPr>
        <w:spacing w:after="0" w:line="240" w:lineRule="auto"/>
      </w:pPr>
      <w:r>
        <w:separator/>
      </w:r>
    </w:p>
  </w:footnote>
  <w:footnote w:type="continuationSeparator" w:id="0">
    <w:p w:rsidR="00006261" w:rsidRDefault="00006261" w:rsidP="00A37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261" w:rsidRDefault="00006261" w:rsidP="0042040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A1B"/>
    <w:multiLevelType w:val="hybridMultilevel"/>
    <w:tmpl w:val="146A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C91555"/>
    <w:multiLevelType w:val="hybridMultilevel"/>
    <w:tmpl w:val="3F7AA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274DF0"/>
    <w:multiLevelType w:val="hybridMultilevel"/>
    <w:tmpl w:val="46F23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3B04ED"/>
    <w:multiLevelType w:val="hybridMultilevel"/>
    <w:tmpl w:val="173A667E"/>
    <w:lvl w:ilvl="0" w:tplc="392A92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B35769"/>
    <w:multiLevelType w:val="hybridMultilevel"/>
    <w:tmpl w:val="320A2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417E56"/>
    <w:multiLevelType w:val="hybridMultilevel"/>
    <w:tmpl w:val="9B92DD8E"/>
    <w:lvl w:ilvl="0" w:tplc="2D80E192">
      <w:start w:val="1"/>
      <w:numFmt w:val="decimal"/>
      <w:lvlText w:val="%1."/>
      <w:lvlJc w:val="left"/>
      <w:pPr>
        <w:tabs>
          <w:tab w:val="num" w:pos="360"/>
        </w:tabs>
        <w:ind w:left="360" w:hanging="360"/>
      </w:pPr>
      <w:rPr>
        <w:sz w:val="24"/>
        <w:szCs w:val="24"/>
      </w:rPr>
    </w:lvl>
    <w:lvl w:ilvl="1" w:tplc="0809000F">
      <w:start w:val="1"/>
      <w:numFmt w:val="decimal"/>
      <w:lvlText w:val="%2."/>
      <w:lvlJc w:val="left"/>
      <w:pPr>
        <w:tabs>
          <w:tab w:val="num" w:pos="1080"/>
        </w:tabs>
        <w:ind w:left="1080" w:hanging="360"/>
      </w:pPr>
      <w:rPr>
        <w:sz w:val="24"/>
        <w:szCs w:val="24"/>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6">
    <w:nsid w:val="76F568F7"/>
    <w:multiLevelType w:val="hybridMultilevel"/>
    <w:tmpl w:val="15108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80"/>
    <w:rsid w:val="00006261"/>
    <w:rsid w:val="00022F7D"/>
    <w:rsid w:val="00074578"/>
    <w:rsid w:val="00181CC6"/>
    <w:rsid w:val="001F5CA1"/>
    <w:rsid w:val="0020361E"/>
    <w:rsid w:val="0023429C"/>
    <w:rsid w:val="0027649E"/>
    <w:rsid w:val="002F359C"/>
    <w:rsid w:val="003344CF"/>
    <w:rsid w:val="003A356D"/>
    <w:rsid w:val="003B59A1"/>
    <w:rsid w:val="004057AD"/>
    <w:rsid w:val="00406283"/>
    <w:rsid w:val="0042040E"/>
    <w:rsid w:val="00431E07"/>
    <w:rsid w:val="00450AFB"/>
    <w:rsid w:val="005419A9"/>
    <w:rsid w:val="00624BA8"/>
    <w:rsid w:val="006360A9"/>
    <w:rsid w:val="00696C3D"/>
    <w:rsid w:val="006B6681"/>
    <w:rsid w:val="0075325F"/>
    <w:rsid w:val="00850454"/>
    <w:rsid w:val="009A3AEE"/>
    <w:rsid w:val="009E5907"/>
    <w:rsid w:val="00A37B80"/>
    <w:rsid w:val="00A414DA"/>
    <w:rsid w:val="00A8099D"/>
    <w:rsid w:val="00AC6F98"/>
    <w:rsid w:val="00B071BE"/>
    <w:rsid w:val="00B614D8"/>
    <w:rsid w:val="00B86147"/>
    <w:rsid w:val="00B90342"/>
    <w:rsid w:val="00BF6BD0"/>
    <w:rsid w:val="00C30FF1"/>
    <w:rsid w:val="00C446A7"/>
    <w:rsid w:val="00C64BA2"/>
    <w:rsid w:val="00D42B43"/>
    <w:rsid w:val="00E27CF0"/>
    <w:rsid w:val="00ED0EA3"/>
    <w:rsid w:val="00EF43C7"/>
    <w:rsid w:val="00F63847"/>
    <w:rsid w:val="00F90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B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B80"/>
  </w:style>
  <w:style w:type="paragraph" w:styleId="Footer">
    <w:name w:val="footer"/>
    <w:basedOn w:val="Normal"/>
    <w:link w:val="FooterChar"/>
    <w:uiPriority w:val="99"/>
    <w:unhideWhenUsed/>
    <w:rsid w:val="00A37B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B80"/>
  </w:style>
  <w:style w:type="paragraph" w:styleId="BalloonText">
    <w:name w:val="Balloon Text"/>
    <w:basedOn w:val="Normal"/>
    <w:link w:val="BalloonTextChar"/>
    <w:uiPriority w:val="99"/>
    <w:semiHidden/>
    <w:unhideWhenUsed/>
    <w:rsid w:val="00A37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B80"/>
    <w:rPr>
      <w:rFonts w:ascii="Tahoma" w:hAnsi="Tahoma" w:cs="Tahoma"/>
      <w:sz w:val="16"/>
      <w:szCs w:val="16"/>
    </w:rPr>
  </w:style>
  <w:style w:type="paragraph" w:styleId="ListParagraph">
    <w:name w:val="List Paragraph"/>
    <w:basedOn w:val="Normal"/>
    <w:uiPriority w:val="34"/>
    <w:qFormat/>
    <w:rsid w:val="00F63847"/>
    <w:pPr>
      <w:ind w:left="720"/>
      <w:contextualSpacing/>
    </w:pPr>
  </w:style>
  <w:style w:type="character" w:styleId="Hyperlink">
    <w:name w:val="Hyperlink"/>
    <w:rsid w:val="00F63847"/>
    <w:rPr>
      <w:color w:val="0000FF"/>
      <w:u w:val="single"/>
    </w:rPr>
  </w:style>
  <w:style w:type="paragraph" w:styleId="BodyText">
    <w:name w:val="Body Text"/>
    <w:basedOn w:val="Normal"/>
    <w:link w:val="BodyTextChar"/>
    <w:uiPriority w:val="99"/>
    <w:unhideWhenUsed/>
    <w:rsid w:val="0020361E"/>
    <w:pPr>
      <w:spacing w:after="0" w:line="240" w:lineRule="auto"/>
      <w:jc w:val="both"/>
    </w:pPr>
    <w:rPr>
      <w:rFonts w:ascii="Arial" w:hAnsi="Arial" w:cs="Arial"/>
      <w:sz w:val="28"/>
      <w:szCs w:val="28"/>
    </w:rPr>
  </w:style>
  <w:style w:type="character" w:customStyle="1" w:styleId="BodyTextChar">
    <w:name w:val="Body Text Char"/>
    <w:basedOn w:val="DefaultParagraphFont"/>
    <w:link w:val="BodyText"/>
    <w:uiPriority w:val="99"/>
    <w:rsid w:val="0020361E"/>
    <w:rPr>
      <w:rFonts w:ascii="Arial" w:hAnsi="Arial" w:cs="Arial"/>
      <w:sz w:val="28"/>
      <w:szCs w:val="28"/>
    </w:rPr>
  </w:style>
  <w:style w:type="paragraph" w:styleId="PlainText">
    <w:name w:val="Plain Text"/>
    <w:basedOn w:val="Normal"/>
    <w:link w:val="PlainTextChar"/>
    <w:uiPriority w:val="99"/>
    <w:semiHidden/>
    <w:unhideWhenUsed/>
    <w:rsid w:val="0020361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20361E"/>
    <w:rPr>
      <w:rFonts w:ascii="Calibri" w:hAnsi="Calibri" w:cs="Consolas"/>
      <w:szCs w:val="21"/>
    </w:rPr>
  </w:style>
  <w:style w:type="table" w:styleId="TableGrid">
    <w:name w:val="Table Grid"/>
    <w:basedOn w:val="TableNormal"/>
    <w:uiPriority w:val="59"/>
    <w:rsid w:val="006B6681"/>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B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B80"/>
  </w:style>
  <w:style w:type="paragraph" w:styleId="Footer">
    <w:name w:val="footer"/>
    <w:basedOn w:val="Normal"/>
    <w:link w:val="FooterChar"/>
    <w:uiPriority w:val="99"/>
    <w:unhideWhenUsed/>
    <w:rsid w:val="00A37B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B80"/>
  </w:style>
  <w:style w:type="paragraph" w:styleId="BalloonText">
    <w:name w:val="Balloon Text"/>
    <w:basedOn w:val="Normal"/>
    <w:link w:val="BalloonTextChar"/>
    <w:uiPriority w:val="99"/>
    <w:semiHidden/>
    <w:unhideWhenUsed/>
    <w:rsid w:val="00A37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B80"/>
    <w:rPr>
      <w:rFonts w:ascii="Tahoma" w:hAnsi="Tahoma" w:cs="Tahoma"/>
      <w:sz w:val="16"/>
      <w:szCs w:val="16"/>
    </w:rPr>
  </w:style>
  <w:style w:type="paragraph" w:styleId="ListParagraph">
    <w:name w:val="List Paragraph"/>
    <w:basedOn w:val="Normal"/>
    <w:uiPriority w:val="34"/>
    <w:qFormat/>
    <w:rsid w:val="00F63847"/>
    <w:pPr>
      <w:ind w:left="720"/>
      <w:contextualSpacing/>
    </w:pPr>
  </w:style>
  <w:style w:type="character" w:styleId="Hyperlink">
    <w:name w:val="Hyperlink"/>
    <w:rsid w:val="00F63847"/>
    <w:rPr>
      <w:color w:val="0000FF"/>
      <w:u w:val="single"/>
    </w:rPr>
  </w:style>
  <w:style w:type="paragraph" w:styleId="BodyText">
    <w:name w:val="Body Text"/>
    <w:basedOn w:val="Normal"/>
    <w:link w:val="BodyTextChar"/>
    <w:uiPriority w:val="99"/>
    <w:unhideWhenUsed/>
    <w:rsid w:val="0020361E"/>
    <w:pPr>
      <w:spacing w:after="0" w:line="240" w:lineRule="auto"/>
      <w:jc w:val="both"/>
    </w:pPr>
    <w:rPr>
      <w:rFonts w:ascii="Arial" w:hAnsi="Arial" w:cs="Arial"/>
      <w:sz w:val="28"/>
      <w:szCs w:val="28"/>
    </w:rPr>
  </w:style>
  <w:style w:type="character" w:customStyle="1" w:styleId="BodyTextChar">
    <w:name w:val="Body Text Char"/>
    <w:basedOn w:val="DefaultParagraphFont"/>
    <w:link w:val="BodyText"/>
    <w:uiPriority w:val="99"/>
    <w:rsid w:val="0020361E"/>
    <w:rPr>
      <w:rFonts w:ascii="Arial" w:hAnsi="Arial" w:cs="Arial"/>
      <w:sz w:val="28"/>
      <w:szCs w:val="28"/>
    </w:rPr>
  </w:style>
  <w:style w:type="paragraph" w:styleId="PlainText">
    <w:name w:val="Plain Text"/>
    <w:basedOn w:val="Normal"/>
    <w:link w:val="PlainTextChar"/>
    <w:uiPriority w:val="99"/>
    <w:semiHidden/>
    <w:unhideWhenUsed/>
    <w:rsid w:val="0020361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20361E"/>
    <w:rPr>
      <w:rFonts w:ascii="Calibri" w:hAnsi="Calibri" w:cs="Consolas"/>
      <w:szCs w:val="21"/>
    </w:rPr>
  </w:style>
  <w:style w:type="table" w:styleId="TableGrid">
    <w:name w:val="Table Grid"/>
    <w:basedOn w:val="TableNormal"/>
    <w:uiPriority w:val="59"/>
    <w:rsid w:val="006B6681"/>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58303">
      <w:bodyDiv w:val="1"/>
      <w:marLeft w:val="0"/>
      <w:marRight w:val="0"/>
      <w:marTop w:val="0"/>
      <w:marBottom w:val="0"/>
      <w:divBdr>
        <w:top w:val="none" w:sz="0" w:space="0" w:color="auto"/>
        <w:left w:val="none" w:sz="0" w:space="0" w:color="auto"/>
        <w:bottom w:val="none" w:sz="0" w:space="0" w:color="auto"/>
        <w:right w:val="none" w:sz="0" w:space="0" w:color="auto"/>
      </w:divBdr>
    </w:div>
    <w:div w:id="655232183">
      <w:bodyDiv w:val="1"/>
      <w:marLeft w:val="0"/>
      <w:marRight w:val="0"/>
      <w:marTop w:val="0"/>
      <w:marBottom w:val="0"/>
      <w:divBdr>
        <w:top w:val="none" w:sz="0" w:space="0" w:color="auto"/>
        <w:left w:val="none" w:sz="0" w:space="0" w:color="auto"/>
        <w:bottom w:val="none" w:sz="0" w:space="0" w:color="auto"/>
        <w:right w:val="none" w:sz="0" w:space="0" w:color="auto"/>
      </w:divBdr>
    </w:div>
    <w:div w:id="2099515561">
      <w:bodyDiv w:val="1"/>
      <w:marLeft w:val="0"/>
      <w:marRight w:val="0"/>
      <w:marTop w:val="0"/>
      <w:marBottom w:val="0"/>
      <w:divBdr>
        <w:top w:val="none" w:sz="0" w:space="0" w:color="auto"/>
        <w:left w:val="none" w:sz="0" w:space="0" w:color="auto"/>
        <w:bottom w:val="none" w:sz="0" w:space="0" w:color="auto"/>
        <w:right w:val="none" w:sz="0" w:space="0" w:color="auto"/>
      </w:divBdr>
    </w:div>
    <w:div w:id="213589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l.ac.uk/hr/equaliti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cl.ac.uk/hr/equalities/race/BMEnto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BD41278B.dotm</Template>
  <TotalTime>0</TotalTime>
  <Pages>5</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UCL FBS AISC</Company>
  <LinksUpToDate>false</LinksUpToDate>
  <CharactersWithSpaces>11695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Dunk</dc:creator>
  <cp:lastModifiedBy>Geoff Dunk</cp:lastModifiedBy>
  <cp:revision>2</cp:revision>
  <cp:lastPrinted>2013-05-03T12:56:00Z</cp:lastPrinted>
  <dcterms:created xsi:type="dcterms:W3CDTF">2013-06-04T15:14:00Z</dcterms:created>
  <dcterms:modified xsi:type="dcterms:W3CDTF">2013-06-04T15:14:00Z</dcterms:modified>
</cp:coreProperties>
</file>