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D6C04" w14:textId="77777777" w:rsidR="006166F6" w:rsidRDefault="006166F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536"/>
      </w:tblGrid>
      <w:tr w:rsidR="00CA797C" w14:paraId="349F49EC" w14:textId="77777777" w:rsidTr="00742D7F">
        <w:trPr>
          <w:trHeight w:val="420"/>
        </w:trPr>
        <w:tc>
          <w:tcPr>
            <w:tcW w:w="9242" w:type="dxa"/>
            <w:gridSpan w:val="2"/>
            <w:shd w:val="clear" w:color="auto" w:fill="E5DFEC" w:themeFill="accent4" w:themeFillTint="33"/>
            <w:vAlign w:val="center"/>
          </w:tcPr>
          <w:p w14:paraId="3B25CFBD" w14:textId="77777777" w:rsidR="00CA797C" w:rsidRPr="00EB0CAF" w:rsidRDefault="00F87DE1" w:rsidP="00AD5D59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Appointee </w:t>
            </w:r>
            <w:r w:rsidR="007A0174">
              <w:rPr>
                <w:rFonts w:ascii="Arial" w:hAnsi="Arial" w:cs="Arial"/>
                <w:b/>
                <w:u w:val="single"/>
              </w:rPr>
              <w:t xml:space="preserve">Relocation </w:t>
            </w:r>
            <w:r w:rsidR="00CA797C">
              <w:rPr>
                <w:rFonts w:ascii="Arial" w:hAnsi="Arial" w:cs="Arial"/>
                <w:b/>
                <w:u w:val="single"/>
              </w:rPr>
              <w:t>Fact Sheet</w:t>
            </w:r>
          </w:p>
        </w:tc>
      </w:tr>
      <w:tr w:rsidR="00CA797C" w14:paraId="01C0E7DE" w14:textId="77777777" w:rsidTr="00CA797C">
        <w:trPr>
          <w:trHeight w:val="157"/>
        </w:trPr>
        <w:tc>
          <w:tcPr>
            <w:tcW w:w="9242" w:type="dxa"/>
            <w:gridSpan w:val="2"/>
            <w:shd w:val="clear" w:color="auto" w:fill="auto"/>
            <w:vAlign w:val="center"/>
          </w:tcPr>
          <w:p w14:paraId="5DE3A86B" w14:textId="77777777" w:rsidR="00CA797C" w:rsidRDefault="00CA797C" w:rsidP="00AD5D59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EB0CAF" w14:paraId="70EB7BED" w14:textId="77777777" w:rsidTr="00742D7F">
        <w:trPr>
          <w:trHeight w:val="420"/>
        </w:trPr>
        <w:tc>
          <w:tcPr>
            <w:tcW w:w="9242" w:type="dxa"/>
            <w:gridSpan w:val="2"/>
            <w:shd w:val="clear" w:color="auto" w:fill="403152" w:themeFill="accent4" w:themeFillShade="80"/>
            <w:vAlign w:val="center"/>
          </w:tcPr>
          <w:p w14:paraId="608BDEB4" w14:textId="77777777" w:rsidR="00EB0CAF" w:rsidRPr="00EB0CAF" w:rsidRDefault="00EB0CAF" w:rsidP="00AD5D59">
            <w:pPr>
              <w:rPr>
                <w:rFonts w:ascii="Arial" w:hAnsi="Arial" w:cs="Arial"/>
                <w:b/>
                <w:u w:val="single"/>
              </w:rPr>
            </w:pPr>
            <w:r w:rsidRPr="00EB0CAF">
              <w:rPr>
                <w:rFonts w:ascii="Arial" w:hAnsi="Arial" w:cs="Arial"/>
                <w:b/>
                <w:u w:val="single"/>
              </w:rPr>
              <w:t>Eligibility</w:t>
            </w:r>
            <w:r>
              <w:rPr>
                <w:rFonts w:ascii="Arial" w:hAnsi="Arial" w:cs="Arial"/>
                <w:b/>
                <w:u w:val="single"/>
              </w:rPr>
              <w:t xml:space="preserve"> for R</w:t>
            </w:r>
            <w:r w:rsidRPr="00EB0CAF">
              <w:rPr>
                <w:rFonts w:ascii="Arial" w:hAnsi="Arial" w:cs="Arial"/>
                <w:b/>
                <w:u w:val="single"/>
              </w:rPr>
              <w:t>elocation Expenses</w:t>
            </w:r>
          </w:p>
        </w:tc>
      </w:tr>
      <w:tr w:rsidR="00EB0CAF" w14:paraId="2CA1E64B" w14:textId="77777777" w:rsidTr="00AD5D59">
        <w:tc>
          <w:tcPr>
            <w:tcW w:w="9242" w:type="dxa"/>
            <w:gridSpan w:val="2"/>
          </w:tcPr>
          <w:p w14:paraId="14FE3075" w14:textId="73DECE18" w:rsidR="007A0174" w:rsidRPr="007A0174" w:rsidRDefault="007A0174" w:rsidP="007A0174">
            <w:pPr>
              <w:pStyle w:val="Normal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br/>
            </w:r>
            <w:r w:rsidRPr="007A0174">
              <w:rPr>
                <w:rFonts w:ascii="Arial" w:hAnsi="Arial" w:cs="Arial"/>
                <w:sz w:val="20"/>
                <w:szCs w:val="20"/>
              </w:rPr>
              <w:t xml:space="preserve">UCL’s </w:t>
            </w:r>
            <w:hyperlink r:id="rId8" w:history="1">
              <w:r w:rsidRPr="007E752C">
                <w:rPr>
                  <w:rStyle w:val="Hyperlink"/>
                  <w:rFonts w:ascii="Arial" w:hAnsi="Arial" w:cs="Arial"/>
                  <w:sz w:val="20"/>
                  <w:szCs w:val="20"/>
                </w:rPr>
                <w:t>Relocation Scheme</w:t>
              </w:r>
            </w:hyperlink>
            <w:r w:rsidRPr="007A0174">
              <w:rPr>
                <w:rFonts w:ascii="Arial" w:hAnsi="Arial" w:cs="Arial"/>
                <w:sz w:val="20"/>
                <w:szCs w:val="20"/>
              </w:rPr>
              <w:t xml:space="preserve"> applies</w:t>
            </w:r>
            <w:r>
              <w:rPr>
                <w:rFonts w:ascii="Arial" w:hAnsi="Arial" w:cs="Arial"/>
                <w:sz w:val="20"/>
                <w:szCs w:val="20"/>
              </w:rPr>
              <w:t xml:space="preserve"> to newly-</w:t>
            </w:r>
            <w:r w:rsidRPr="007A0174">
              <w:rPr>
                <w:rFonts w:ascii="Arial" w:hAnsi="Arial" w:cs="Arial"/>
                <w:sz w:val="20"/>
                <w:szCs w:val="20"/>
              </w:rPr>
              <w:t xml:space="preserve">appointed academic staff (Lecturer through to Professor) and senior </w:t>
            </w:r>
            <w:r>
              <w:rPr>
                <w:rFonts w:ascii="Arial" w:hAnsi="Arial" w:cs="Arial"/>
                <w:sz w:val="20"/>
                <w:szCs w:val="20"/>
              </w:rPr>
              <w:t>professional services</w:t>
            </w:r>
            <w:r w:rsidRPr="007A0174">
              <w:rPr>
                <w:rFonts w:ascii="Arial" w:hAnsi="Arial" w:cs="Arial"/>
                <w:sz w:val="20"/>
                <w:szCs w:val="20"/>
              </w:rPr>
              <w:t xml:space="preserve"> staff (Grades 9 and 10) who relocate their home to take up an appointment with UCL, in order to significantly reduce their travelling time to work.</w:t>
            </w:r>
          </w:p>
          <w:p w14:paraId="7695A7A1" w14:textId="77777777" w:rsidR="00A10880" w:rsidRDefault="007A0174" w:rsidP="00AD5D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Further </w:t>
            </w:r>
            <w:r w:rsidR="000A143B">
              <w:rPr>
                <w:rFonts w:ascii="Arial" w:hAnsi="Arial" w:cs="Arial"/>
                <w:sz w:val="20"/>
                <w:szCs w:val="20"/>
              </w:rPr>
              <w:t xml:space="preserve">information </w:t>
            </w:r>
            <w:r w:rsidR="000A143B" w:rsidRPr="00EB0CAF">
              <w:rPr>
                <w:rFonts w:ascii="Arial" w:hAnsi="Arial" w:cs="Arial"/>
                <w:sz w:val="20"/>
                <w:szCs w:val="20"/>
              </w:rPr>
              <w:t>about</w:t>
            </w:r>
            <w:r>
              <w:rPr>
                <w:rFonts w:ascii="Arial" w:hAnsi="Arial" w:cs="Arial"/>
                <w:sz w:val="20"/>
                <w:szCs w:val="20"/>
              </w:rPr>
              <w:t xml:space="preserve"> eligible</w:t>
            </w:r>
            <w:r w:rsidRPr="00EB0C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143B">
              <w:t>expenses is</w:t>
            </w:r>
            <w:r>
              <w:rPr>
                <w:rFonts w:ascii="Arial" w:hAnsi="Arial" w:cs="Arial"/>
                <w:sz w:val="20"/>
                <w:szCs w:val="20"/>
              </w:rPr>
              <w:t xml:space="preserve"> available on the </w:t>
            </w:r>
            <w:r w:rsidR="0026663D">
              <w:rPr>
                <w:rFonts w:ascii="Arial" w:hAnsi="Arial" w:cs="Arial"/>
                <w:sz w:val="20"/>
                <w:szCs w:val="20"/>
              </w:rPr>
              <w:t xml:space="preserve">UCL </w:t>
            </w:r>
            <w:r>
              <w:rPr>
                <w:rFonts w:ascii="Arial" w:hAnsi="Arial" w:cs="Arial"/>
                <w:sz w:val="20"/>
                <w:szCs w:val="20"/>
              </w:rPr>
              <w:t>Finance website.</w:t>
            </w:r>
            <w:r w:rsidR="00EB0CAF" w:rsidRPr="00EB0C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4CD55B" w14:textId="77777777" w:rsidR="00A10880" w:rsidRPr="00A10880" w:rsidRDefault="00A10880" w:rsidP="00AD5D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CAF" w14:paraId="2D26E837" w14:textId="77777777" w:rsidTr="00AD5D59">
        <w:tc>
          <w:tcPr>
            <w:tcW w:w="9242" w:type="dxa"/>
            <w:gridSpan w:val="2"/>
          </w:tcPr>
          <w:p w14:paraId="5A0C83BE" w14:textId="77777777" w:rsidR="00EB0CAF" w:rsidRDefault="00EB0CAF" w:rsidP="00AD5D59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  <w:tr w:rsidR="00EB0CAF" w14:paraId="56E03ACC" w14:textId="77777777" w:rsidTr="00742D7F">
        <w:trPr>
          <w:trHeight w:val="477"/>
        </w:trPr>
        <w:tc>
          <w:tcPr>
            <w:tcW w:w="9242" w:type="dxa"/>
            <w:gridSpan w:val="2"/>
            <w:shd w:val="clear" w:color="auto" w:fill="403152" w:themeFill="accent4" w:themeFillShade="80"/>
            <w:vAlign w:val="center"/>
          </w:tcPr>
          <w:p w14:paraId="48A757CD" w14:textId="77777777" w:rsidR="00EB0CAF" w:rsidRPr="00EB0CAF" w:rsidRDefault="00EB0CAF" w:rsidP="00AD5D59">
            <w:pPr>
              <w:rPr>
                <w:rFonts w:ascii="Arial" w:hAnsi="Arial" w:cs="Arial"/>
                <w:b/>
                <w:u w:val="single"/>
              </w:rPr>
            </w:pPr>
            <w:r w:rsidRPr="00850C2E">
              <w:rPr>
                <w:rFonts w:ascii="Arial" w:hAnsi="Arial" w:cs="Arial"/>
                <w:b/>
                <w:u w:val="single"/>
              </w:rPr>
              <w:t>UCL’s Suppliers</w:t>
            </w:r>
          </w:p>
        </w:tc>
      </w:tr>
      <w:tr w:rsidR="00EB0CAF" w14:paraId="2D8679A2" w14:textId="77777777" w:rsidTr="00AD5D59">
        <w:tc>
          <w:tcPr>
            <w:tcW w:w="9242" w:type="dxa"/>
            <w:gridSpan w:val="2"/>
          </w:tcPr>
          <w:p w14:paraId="733C9074" w14:textId="77777777" w:rsidR="00EB0CAF" w:rsidRDefault="00EB0CAF" w:rsidP="00AD5D59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  <w:p w14:paraId="757EA501" w14:textId="77777777" w:rsidR="007A0174" w:rsidRPr="007A0174" w:rsidRDefault="007A0174" w:rsidP="00AD5D59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7A0174">
              <w:rPr>
                <w:rFonts w:ascii="Arial" w:hAnsi="Arial" w:cs="Arial"/>
                <w:sz w:val="20"/>
                <w:szCs w:val="20"/>
              </w:rPr>
              <w:t>In addition to allowable expenses</w:t>
            </w:r>
            <w:r>
              <w:rPr>
                <w:rFonts w:ascii="Arial" w:hAnsi="Arial" w:cs="Arial"/>
                <w:sz w:val="20"/>
                <w:szCs w:val="20"/>
              </w:rPr>
              <w:t xml:space="preserve"> which you may reclaim</w:t>
            </w:r>
            <w:r w:rsidRPr="007A0174">
              <w:rPr>
                <w:rFonts w:ascii="Arial" w:hAnsi="Arial" w:cs="Arial"/>
                <w:sz w:val="20"/>
                <w:szCs w:val="20"/>
              </w:rPr>
              <w:t xml:space="preserve">, such as the transportation of personal goods, including pets, you may choose to spend </w:t>
            </w:r>
            <w:r>
              <w:rPr>
                <w:rFonts w:ascii="Arial" w:hAnsi="Arial" w:cs="Arial"/>
                <w:sz w:val="20"/>
                <w:szCs w:val="20"/>
              </w:rPr>
              <w:t>some or all of your</w:t>
            </w:r>
            <w:r w:rsidRPr="007A0174">
              <w:rPr>
                <w:rFonts w:ascii="Arial" w:hAnsi="Arial" w:cs="Arial"/>
                <w:sz w:val="20"/>
                <w:szCs w:val="20"/>
              </w:rPr>
              <w:t xml:space="preserve"> Relocation Supplement on </w:t>
            </w:r>
            <w:r>
              <w:rPr>
                <w:rFonts w:ascii="Arial" w:hAnsi="Arial" w:cs="Arial"/>
                <w:sz w:val="20"/>
                <w:szCs w:val="20"/>
              </w:rPr>
              <w:t>a range of</w:t>
            </w:r>
            <w:r w:rsidRPr="007A0174">
              <w:rPr>
                <w:rFonts w:ascii="Arial" w:hAnsi="Arial" w:cs="Arial"/>
                <w:sz w:val="20"/>
                <w:szCs w:val="20"/>
              </w:rPr>
              <w:t xml:space="preserve"> listed additional </w:t>
            </w:r>
            <w:r>
              <w:rPr>
                <w:rFonts w:ascii="Arial" w:hAnsi="Arial" w:cs="Arial"/>
                <w:sz w:val="20"/>
                <w:szCs w:val="20"/>
              </w:rPr>
              <w:t xml:space="preserve">relocation </w:t>
            </w:r>
            <w:r w:rsidRPr="007A0174">
              <w:rPr>
                <w:rFonts w:ascii="Arial" w:hAnsi="Arial" w:cs="Arial"/>
                <w:sz w:val="20"/>
                <w:szCs w:val="20"/>
              </w:rPr>
              <w:t>services.</w:t>
            </w:r>
          </w:p>
          <w:p w14:paraId="168D02BD" w14:textId="77777777" w:rsidR="00EB0CAF" w:rsidRDefault="007A0174" w:rsidP="00AD5D5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  <w:r w:rsidR="00EB0CAF" w:rsidRPr="00EB0CAF">
              <w:rPr>
                <w:rFonts w:ascii="Arial" w:hAnsi="Arial" w:cs="Arial"/>
                <w:sz w:val="20"/>
              </w:rPr>
              <w:t xml:space="preserve">UCL has a preferred supplier list for the provision of </w:t>
            </w:r>
            <w:r>
              <w:rPr>
                <w:rFonts w:ascii="Arial" w:hAnsi="Arial" w:cs="Arial"/>
                <w:sz w:val="20"/>
              </w:rPr>
              <w:t>these</w:t>
            </w:r>
            <w:r w:rsidR="00EB0CAF" w:rsidRPr="00EB0CAF">
              <w:rPr>
                <w:rFonts w:ascii="Arial" w:hAnsi="Arial" w:cs="Arial"/>
                <w:sz w:val="20"/>
              </w:rPr>
              <w:t xml:space="preserve"> </w:t>
            </w:r>
            <w:r w:rsidR="0026663D">
              <w:rPr>
                <w:rFonts w:ascii="Arial" w:hAnsi="Arial" w:cs="Arial"/>
                <w:sz w:val="20"/>
              </w:rPr>
              <w:t>r</w:t>
            </w:r>
            <w:r w:rsidR="00EB0CAF" w:rsidRPr="00EB0CAF">
              <w:rPr>
                <w:rFonts w:ascii="Arial" w:hAnsi="Arial" w:cs="Arial"/>
                <w:sz w:val="20"/>
              </w:rPr>
              <w:t xml:space="preserve">elocation </w:t>
            </w:r>
            <w:r w:rsidR="0026663D">
              <w:rPr>
                <w:rFonts w:ascii="Arial" w:hAnsi="Arial" w:cs="Arial"/>
                <w:sz w:val="20"/>
              </w:rPr>
              <w:t>s</w:t>
            </w:r>
            <w:r w:rsidR="00EB0CAF" w:rsidRPr="00EB0CAF">
              <w:rPr>
                <w:rFonts w:ascii="Arial" w:hAnsi="Arial" w:cs="Arial"/>
                <w:sz w:val="20"/>
              </w:rPr>
              <w:t>ervices who have:</w:t>
            </w:r>
          </w:p>
          <w:p w14:paraId="3AAECB60" w14:textId="77777777" w:rsidR="00AD5D59" w:rsidRPr="00EB0CAF" w:rsidRDefault="00AD5D59" w:rsidP="00AD5D59">
            <w:pPr>
              <w:jc w:val="both"/>
              <w:rPr>
                <w:rFonts w:ascii="Arial" w:hAnsi="Arial" w:cs="Arial"/>
                <w:sz w:val="20"/>
              </w:rPr>
            </w:pPr>
          </w:p>
          <w:p w14:paraId="5EBCFCFC" w14:textId="77777777" w:rsidR="00EB0CAF" w:rsidRPr="00EB0CAF" w:rsidRDefault="00EB0CAF" w:rsidP="00AD5D59">
            <w:pPr>
              <w:pStyle w:val="ListParagraph"/>
              <w:keepLines/>
              <w:numPr>
                <w:ilvl w:val="0"/>
                <w:numId w:val="1"/>
              </w:numPr>
              <w:spacing w:line="360" w:lineRule="auto"/>
              <w:ind w:left="426" w:hanging="284"/>
              <w:jc w:val="both"/>
              <w:rPr>
                <w:rFonts w:ascii="Arial" w:hAnsi="Arial" w:cs="Arial"/>
                <w:sz w:val="20"/>
              </w:rPr>
            </w:pPr>
            <w:r w:rsidRPr="00EB0CAF">
              <w:rPr>
                <w:rFonts w:ascii="Arial" w:hAnsi="Arial" w:cs="Arial"/>
                <w:sz w:val="20"/>
              </w:rPr>
              <w:t>Been vetted to ensure they have the expertise required to relocate you across the globe.</w:t>
            </w:r>
          </w:p>
          <w:p w14:paraId="13424AF5" w14:textId="77777777" w:rsidR="00EB0CAF" w:rsidRPr="00EB0CAF" w:rsidRDefault="00EB0CAF" w:rsidP="00AD5D5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26" w:hanging="284"/>
              <w:jc w:val="both"/>
              <w:rPr>
                <w:rFonts w:ascii="Arial" w:hAnsi="Arial" w:cs="Arial"/>
                <w:sz w:val="20"/>
              </w:rPr>
            </w:pPr>
            <w:r w:rsidRPr="00EB0CAF">
              <w:rPr>
                <w:rFonts w:ascii="Arial" w:hAnsi="Arial" w:cs="Arial"/>
                <w:sz w:val="20"/>
              </w:rPr>
              <w:t>Agreed to a Service Level Agreement ensuring a high quality of service</w:t>
            </w:r>
          </w:p>
          <w:p w14:paraId="714252B2" w14:textId="77777777" w:rsidR="00EB0CAF" w:rsidRPr="00EB0CAF" w:rsidRDefault="00EB0CAF" w:rsidP="00AD5D5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26" w:hanging="284"/>
              <w:jc w:val="both"/>
              <w:rPr>
                <w:rFonts w:ascii="Arial" w:hAnsi="Arial" w:cs="Arial"/>
                <w:sz w:val="20"/>
              </w:rPr>
            </w:pPr>
            <w:r w:rsidRPr="00EB0CAF">
              <w:rPr>
                <w:rFonts w:ascii="Arial" w:hAnsi="Arial" w:cs="Arial"/>
                <w:sz w:val="20"/>
              </w:rPr>
              <w:t>Offered improved commercial terms helping you get more for your money</w:t>
            </w:r>
          </w:p>
          <w:p w14:paraId="186B71A0" w14:textId="77777777" w:rsidR="00EB0CAF" w:rsidRPr="00EB0CAF" w:rsidRDefault="00EB0CAF" w:rsidP="00AD5D5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26" w:hanging="284"/>
              <w:jc w:val="both"/>
              <w:rPr>
                <w:rFonts w:ascii="Arial" w:hAnsi="Arial" w:cs="Arial"/>
                <w:sz w:val="20"/>
              </w:rPr>
            </w:pPr>
            <w:r w:rsidRPr="00EB0CAF">
              <w:rPr>
                <w:rFonts w:ascii="Arial" w:hAnsi="Arial" w:cs="Arial"/>
                <w:sz w:val="20"/>
              </w:rPr>
              <w:t>Agreed to UCL’s terms and conditions which means no nasty surprises or cost hikes.</w:t>
            </w:r>
          </w:p>
          <w:p w14:paraId="6CF2BD72" w14:textId="77777777" w:rsidR="00EB0CAF" w:rsidRDefault="00EB0CAF" w:rsidP="00CA797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26" w:hanging="284"/>
              <w:jc w:val="both"/>
              <w:rPr>
                <w:rFonts w:ascii="Arial" w:hAnsi="Arial" w:cs="Arial"/>
                <w:sz w:val="20"/>
              </w:rPr>
            </w:pPr>
            <w:r w:rsidRPr="00EB0CAF">
              <w:rPr>
                <w:rFonts w:ascii="Arial" w:hAnsi="Arial" w:cs="Arial"/>
                <w:sz w:val="20"/>
              </w:rPr>
              <w:t>One point of contact that will manage your relocation from start to finish.</w:t>
            </w:r>
          </w:p>
          <w:p w14:paraId="375AB2B4" w14:textId="77777777" w:rsidR="00CA797C" w:rsidRPr="00CA797C" w:rsidRDefault="00CA797C" w:rsidP="00CA797C">
            <w:pPr>
              <w:ind w:left="142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B0CAF" w14:paraId="5F5B3B90" w14:textId="77777777" w:rsidTr="00AD5D59">
        <w:tc>
          <w:tcPr>
            <w:tcW w:w="9242" w:type="dxa"/>
            <w:gridSpan w:val="2"/>
          </w:tcPr>
          <w:p w14:paraId="1AF51851" w14:textId="77777777" w:rsidR="00EB0CAF" w:rsidRDefault="00EB0CAF" w:rsidP="00AD5D59">
            <w:pPr>
              <w:jc w:val="both"/>
              <w:rPr>
                <w:rFonts w:ascii="Arial" w:hAnsi="Arial" w:cs="Arial"/>
                <w:sz w:val="20"/>
              </w:rPr>
            </w:pPr>
            <w:r w:rsidRPr="00EB0CAF">
              <w:rPr>
                <w:rFonts w:ascii="Arial" w:hAnsi="Arial" w:cs="Arial"/>
                <w:sz w:val="20"/>
              </w:rPr>
              <w:t>Our Suppliers offer the following services:</w:t>
            </w:r>
          </w:p>
          <w:p w14:paraId="47B29472" w14:textId="77777777" w:rsidR="00EB0CAF" w:rsidRPr="00EB0CAF" w:rsidRDefault="00EB0CAF" w:rsidP="00AD5D59">
            <w:pPr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68"/>
              <w:gridCol w:w="6440"/>
            </w:tblGrid>
            <w:tr w:rsidR="00EB0CAF" w14:paraId="4CC2AD1E" w14:textId="77777777" w:rsidTr="00742D7F">
              <w:trPr>
                <w:jc w:val="center"/>
              </w:trPr>
              <w:tc>
                <w:tcPr>
                  <w:tcW w:w="2268" w:type="dxa"/>
                  <w:shd w:val="clear" w:color="auto" w:fill="B2A1C7" w:themeFill="accent4" w:themeFillTint="99"/>
                  <w:vAlign w:val="center"/>
                </w:tcPr>
                <w:p w14:paraId="28F5BC05" w14:textId="77777777" w:rsidR="00EB0CAF" w:rsidRPr="007A48D3" w:rsidRDefault="00EB0CAF" w:rsidP="00742D7F">
                  <w:pPr>
                    <w:rPr>
                      <w:rFonts w:ascii="Arial" w:hAnsi="Arial" w:cs="Arial"/>
                      <w:b/>
                    </w:rPr>
                  </w:pPr>
                  <w:r w:rsidRPr="007A48D3">
                    <w:rPr>
                      <w:rFonts w:ascii="Arial" w:hAnsi="Arial" w:cs="Arial"/>
                      <w:b/>
                    </w:rPr>
                    <w:t>Service</w:t>
                  </w:r>
                </w:p>
              </w:tc>
              <w:tc>
                <w:tcPr>
                  <w:tcW w:w="6440" w:type="dxa"/>
                  <w:shd w:val="clear" w:color="auto" w:fill="B2A1C7" w:themeFill="accent4" w:themeFillTint="99"/>
                  <w:vAlign w:val="center"/>
                </w:tcPr>
                <w:p w14:paraId="763AE727" w14:textId="77777777" w:rsidR="00EB0CAF" w:rsidRPr="007A48D3" w:rsidRDefault="00EB0CAF" w:rsidP="00742D7F">
                  <w:pPr>
                    <w:rPr>
                      <w:rFonts w:ascii="Arial" w:hAnsi="Arial" w:cs="Arial"/>
                      <w:b/>
                    </w:rPr>
                  </w:pPr>
                  <w:r w:rsidRPr="007A48D3">
                    <w:rPr>
                      <w:rFonts w:ascii="Arial" w:hAnsi="Arial" w:cs="Arial"/>
                      <w:b/>
                    </w:rPr>
                    <w:t>D</w:t>
                  </w:r>
                  <w:r>
                    <w:rPr>
                      <w:rFonts w:ascii="Arial" w:hAnsi="Arial" w:cs="Arial"/>
                      <w:b/>
                    </w:rPr>
                    <w:t>escription</w:t>
                  </w:r>
                </w:p>
              </w:tc>
            </w:tr>
            <w:tr w:rsidR="00EB0CAF" w14:paraId="6D54A77B" w14:textId="77777777" w:rsidTr="001D6D76">
              <w:trPr>
                <w:jc w:val="center"/>
              </w:trPr>
              <w:tc>
                <w:tcPr>
                  <w:tcW w:w="2268" w:type="dxa"/>
                  <w:vAlign w:val="center"/>
                </w:tcPr>
                <w:p w14:paraId="63782BBE" w14:textId="77777777" w:rsidR="00EB0CAF" w:rsidRPr="00EB0CAF" w:rsidRDefault="00EB0CAF" w:rsidP="00AD5D59">
                  <w:pPr>
                    <w:pStyle w:val="BodyText"/>
                    <w:spacing w:after="0"/>
                    <w:jc w:val="both"/>
                    <w:rPr>
                      <w:rFonts w:ascii="Arial" w:hAnsi="Arial" w:cs="Arial"/>
                      <w:sz w:val="18"/>
                      <w:szCs w:val="22"/>
                    </w:rPr>
                  </w:pPr>
                  <w:r w:rsidRPr="00EB0CAF">
                    <w:rPr>
                      <w:rFonts w:ascii="Arial" w:hAnsi="Arial" w:cs="Arial"/>
                      <w:sz w:val="18"/>
                      <w:szCs w:val="22"/>
                    </w:rPr>
                    <w:t>Visa administration</w:t>
                  </w:r>
                </w:p>
              </w:tc>
              <w:tc>
                <w:tcPr>
                  <w:tcW w:w="6440" w:type="dxa"/>
                  <w:vAlign w:val="center"/>
                </w:tcPr>
                <w:p w14:paraId="1432FBAE" w14:textId="77777777" w:rsidR="00EB0CAF" w:rsidRPr="00EB0CAF" w:rsidRDefault="00EB0CAF" w:rsidP="00AD5D59">
                  <w:pPr>
                    <w:pStyle w:val="ListParagraph"/>
                    <w:numPr>
                      <w:ilvl w:val="0"/>
                      <w:numId w:val="8"/>
                    </w:numPr>
                    <w:spacing w:line="300" w:lineRule="auto"/>
                    <w:ind w:left="318" w:hanging="284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EB0CAF">
                    <w:rPr>
                      <w:rFonts w:ascii="Arial" w:hAnsi="Arial" w:cs="Arial"/>
                      <w:sz w:val="18"/>
                    </w:rPr>
                    <w:t xml:space="preserve">Case planning &amp; personal immigration plans </w:t>
                  </w:r>
                </w:p>
                <w:p w14:paraId="02EE0C05" w14:textId="77777777" w:rsidR="00EB0CAF" w:rsidRDefault="00EB0CAF" w:rsidP="00AD5D59">
                  <w:pPr>
                    <w:pStyle w:val="ListParagraph"/>
                    <w:numPr>
                      <w:ilvl w:val="0"/>
                      <w:numId w:val="8"/>
                    </w:numPr>
                    <w:spacing w:line="300" w:lineRule="auto"/>
                    <w:ind w:left="318" w:hanging="284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EB0CAF">
                    <w:rPr>
                      <w:rFonts w:ascii="Arial" w:hAnsi="Arial" w:cs="Arial"/>
                      <w:sz w:val="18"/>
                    </w:rPr>
                    <w:t>Management of all immigration/emigration-related documents</w:t>
                  </w:r>
                </w:p>
                <w:p w14:paraId="014FCC13" w14:textId="00AD2F1B" w:rsidR="001D6D76" w:rsidRPr="001D6D76" w:rsidRDefault="001D6D76" w:rsidP="000A143B">
                  <w:pPr>
                    <w:spacing w:line="300" w:lineRule="auto"/>
                    <w:ind w:left="34"/>
                    <w:rPr>
                      <w:rFonts w:ascii="Arial" w:hAnsi="Arial" w:cs="Arial"/>
                      <w:sz w:val="18"/>
                    </w:rPr>
                  </w:pPr>
                  <w:r w:rsidRPr="001D6D76">
                    <w:rPr>
                      <w:rFonts w:ascii="Arial" w:hAnsi="Arial" w:cs="Arial"/>
                      <w:b/>
                      <w:sz w:val="18"/>
                    </w:rPr>
                    <w:t>NB</w:t>
                  </w:r>
                  <w:r>
                    <w:rPr>
                      <w:rFonts w:ascii="Arial" w:hAnsi="Arial" w:cs="Arial"/>
                      <w:sz w:val="18"/>
                    </w:rPr>
                    <w:t xml:space="preserve">: If you are relocating to the UK and </w:t>
                  </w:r>
                  <w:r w:rsidR="00341145">
                    <w:rPr>
                      <w:rFonts w:ascii="Arial" w:hAnsi="Arial" w:cs="Arial"/>
                      <w:sz w:val="18"/>
                    </w:rPr>
                    <w:t xml:space="preserve">you require a </w:t>
                  </w:r>
                  <w:hyperlink r:id="rId9" w:history="1">
                    <w:r w:rsidR="00341145" w:rsidRPr="003C113B">
                      <w:rPr>
                        <w:rStyle w:val="Hyperlink"/>
                        <w:rFonts w:ascii="Arial" w:hAnsi="Arial" w:cs="Arial"/>
                        <w:sz w:val="18"/>
                      </w:rPr>
                      <w:t>visa</w:t>
                    </w:r>
                  </w:hyperlink>
                  <w:r w:rsidR="00341145">
                    <w:rPr>
                      <w:rFonts w:ascii="Arial" w:hAnsi="Arial" w:cs="Arial"/>
                      <w:sz w:val="18"/>
                    </w:rPr>
                    <w:t xml:space="preserve"> because you </w:t>
                  </w:r>
                  <w:r>
                    <w:rPr>
                      <w:rFonts w:ascii="Arial" w:hAnsi="Arial" w:cs="Arial"/>
                      <w:sz w:val="18"/>
                    </w:rPr>
                    <w:t>are not an EEA national</w:t>
                  </w:r>
                  <w:r w:rsidR="0026663D">
                    <w:rPr>
                      <w:rFonts w:ascii="Arial" w:hAnsi="Arial" w:cs="Arial"/>
                      <w:sz w:val="18"/>
                    </w:rPr>
                    <w:t xml:space="preserve"> or otherwise have the right to work in the UK</w:t>
                  </w:r>
                  <w:r>
                    <w:rPr>
                      <w:rFonts w:ascii="Arial" w:hAnsi="Arial" w:cs="Arial"/>
                      <w:sz w:val="18"/>
                    </w:rPr>
                    <w:t xml:space="preserve">, please contact your departmental administrator or </w:t>
                  </w:r>
                  <w:hyperlink r:id="rId10" w:history="1">
                    <w:r w:rsidR="0026663D">
                      <w:rPr>
                        <w:rStyle w:val="Hyperlink"/>
                        <w:rFonts w:ascii="Arial" w:hAnsi="Arial" w:cs="Arial"/>
                        <w:sz w:val="18"/>
                      </w:rPr>
                      <w:t>Employment Contracts Supervisor</w:t>
                    </w:r>
                  </w:hyperlink>
                  <w:r w:rsidR="0026663D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</w:rPr>
                    <w:t xml:space="preserve">regarding how we can assist you in obtaining a </w:t>
                  </w:r>
                  <w:hyperlink r:id="rId11" w:history="1">
                    <w:r w:rsidRPr="003C113B">
                      <w:rPr>
                        <w:rStyle w:val="Hyperlink"/>
                        <w:rFonts w:ascii="Arial" w:hAnsi="Arial" w:cs="Arial"/>
                        <w:sz w:val="18"/>
                      </w:rPr>
                      <w:t>visa</w:t>
                    </w:r>
                  </w:hyperlink>
                  <w:r>
                    <w:rPr>
                      <w:rFonts w:ascii="Arial" w:hAnsi="Arial" w:cs="Arial"/>
                      <w:sz w:val="18"/>
                    </w:rPr>
                    <w:t xml:space="preserve">. </w:t>
                  </w:r>
                </w:p>
              </w:tc>
            </w:tr>
            <w:tr w:rsidR="00EB0CAF" w14:paraId="1A121FFF" w14:textId="77777777" w:rsidTr="001D6D76">
              <w:trPr>
                <w:jc w:val="center"/>
              </w:trPr>
              <w:tc>
                <w:tcPr>
                  <w:tcW w:w="2268" w:type="dxa"/>
                  <w:vAlign w:val="center"/>
                </w:tcPr>
                <w:p w14:paraId="63A9FB75" w14:textId="77777777" w:rsidR="00EB0CAF" w:rsidRPr="00EB0CAF" w:rsidRDefault="00EB0CAF" w:rsidP="00742D7F">
                  <w:pPr>
                    <w:rPr>
                      <w:rFonts w:ascii="Arial" w:hAnsi="Arial" w:cs="Arial"/>
                      <w:sz w:val="18"/>
                    </w:rPr>
                  </w:pPr>
                  <w:r w:rsidRPr="00EB0CAF">
                    <w:rPr>
                      <w:rFonts w:ascii="Arial" w:hAnsi="Arial" w:cs="Arial"/>
                      <w:sz w:val="18"/>
                    </w:rPr>
                    <w:t xml:space="preserve">Shipping of personal effects </w:t>
                  </w:r>
                </w:p>
              </w:tc>
              <w:tc>
                <w:tcPr>
                  <w:tcW w:w="6440" w:type="dxa"/>
                  <w:vAlign w:val="center"/>
                </w:tcPr>
                <w:p w14:paraId="0B20A62D" w14:textId="77777777" w:rsidR="00EB0CAF" w:rsidRPr="00EB0CAF" w:rsidRDefault="00EB0CAF" w:rsidP="00AD5D59">
                  <w:pPr>
                    <w:pStyle w:val="ListParagraph"/>
                    <w:numPr>
                      <w:ilvl w:val="0"/>
                      <w:numId w:val="8"/>
                    </w:numPr>
                    <w:spacing w:line="300" w:lineRule="auto"/>
                    <w:ind w:left="318" w:hanging="284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EB0CAF">
                    <w:rPr>
                      <w:rFonts w:ascii="Arial" w:hAnsi="Arial" w:cs="Arial"/>
                      <w:sz w:val="18"/>
                    </w:rPr>
                    <w:t>Packaging &amp; Boxes</w:t>
                  </w:r>
                </w:p>
                <w:p w14:paraId="7E93CAAF" w14:textId="77777777" w:rsidR="00EB0CAF" w:rsidRPr="00EB0CAF" w:rsidRDefault="00EB0CAF" w:rsidP="00AD5D59">
                  <w:pPr>
                    <w:pStyle w:val="ListParagraph"/>
                    <w:numPr>
                      <w:ilvl w:val="0"/>
                      <w:numId w:val="8"/>
                    </w:numPr>
                    <w:spacing w:line="300" w:lineRule="auto"/>
                    <w:ind w:left="318" w:hanging="284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EB0CAF">
                    <w:rPr>
                      <w:rFonts w:ascii="Arial" w:hAnsi="Arial" w:cs="Arial"/>
                      <w:sz w:val="18"/>
                    </w:rPr>
                    <w:t>Packing Services</w:t>
                  </w:r>
                </w:p>
                <w:p w14:paraId="06D3A093" w14:textId="77777777" w:rsidR="00EB0CAF" w:rsidRPr="00EB0CAF" w:rsidRDefault="00EB0CAF" w:rsidP="00AD5D59">
                  <w:pPr>
                    <w:pStyle w:val="ListParagraph"/>
                    <w:numPr>
                      <w:ilvl w:val="0"/>
                      <w:numId w:val="8"/>
                    </w:numPr>
                    <w:spacing w:line="300" w:lineRule="auto"/>
                    <w:ind w:left="318" w:hanging="284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EB0CAF">
                    <w:rPr>
                      <w:rFonts w:ascii="Arial" w:hAnsi="Arial" w:cs="Arial"/>
                      <w:sz w:val="18"/>
                    </w:rPr>
                    <w:t>Shipping</w:t>
                  </w:r>
                </w:p>
                <w:p w14:paraId="7FC3EAC2" w14:textId="77777777" w:rsidR="00EB0CAF" w:rsidRPr="00EB0CAF" w:rsidRDefault="00EB0CAF" w:rsidP="00AD5D59">
                  <w:pPr>
                    <w:pStyle w:val="ListParagraph"/>
                    <w:numPr>
                      <w:ilvl w:val="0"/>
                      <w:numId w:val="8"/>
                    </w:numPr>
                    <w:spacing w:line="300" w:lineRule="auto"/>
                    <w:ind w:left="318" w:hanging="284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EB0CAF">
                    <w:rPr>
                      <w:rFonts w:ascii="Arial" w:hAnsi="Arial" w:cs="Arial"/>
                      <w:sz w:val="18"/>
                    </w:rPr>
                    <w:t>Shipment</w:t>
                  </w:r>
                  <w:r w:rsidR="00570818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EB0CAF">
                    <w:rPr>
                      <w:rFonts w:ascii="Arial" w:hAnsi="Arial" w:cs="Arial"/>
                      <w:sz w:val="18"/>
                    </w:rPr>
                    <w:t xml:space="preserve"> tracking</w:t>
                  </w:r>
                </w:p>
              </w:tc>
            </w:tr>
            <w:tr w:rsidR="00EB0CAF" w14:paraId="5BA0DBE0" w14:textId="77777777" w:rsidTr="001D6D76">
              <w:trPr>
                <w:jc w:val="center"/>
              </w:trPr>
              <w:tc>
                <w:tcPr>
                  <w:tcW w:w="2268" w:type="dxa"/>
                  <w:vAlign w:val="center"/>
                </w:tcPr>
                <w:p w14:paraId="44623581" w14:textId="77777777" w:rsidR="00EB0CAF" w:rsidRPr="00EB0CAF" w:rsidRDefault="00EB0CAF" w:rsidP="00AD5D59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EB0CAF">
                    <w:rPr>
                      <w:rFonts w:ascii="Arial" w:hAnsi="Arial" w:cs="Arial"/>
                      <w:sz w:val="18"/>
                    </w:rPr>
                    <w:t>Storage facilities</w:t>
                  </w:r>
                </w:p>
              </w:tc>
              <w:tc>
                <w:tcPr>
                  <w:tcW w:w="6440" w:type="dxa"/>
                  <w:vAlign w:val="center"/>
                </w:tcPr>
                <w:p w14:paraId="06AB74BA" w14:textId="77777777" w:rsidR="00EB0CAF" w:rsidRPr="00EB0CAF" w:rsidRDefault="00EB0CAF" w:rsidP="00AD5D59">
                  <w:pPr>
                    <w:pStyle w:val="ListParagraph"/>
                    <w:numPr>
                      <w:ilvl w:val="0"/>
                      <w:numId w:val="8"/>
                    </w:numPr>
                    <w:spacing w:line="300" w:lineRule="auto"/>
                    <w:ind w:left="318" w:hanging="284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EB0CAF">
                    <w:rPr>
                      <w:rFonts w:ascii="Arial" w:hAnsi="Arial" w:cs="Arial"/>
                      <w:sz w:val="18"/>
                    </w:rPr>
                    <w:t>UK &amp; International Storage</w:t>
                  </w:r>
                </w:p>
                <w:p w14:paraId="7AA9B565" w14:textId="77777777" w:rsidR="00EB0CAF" w:rsidRPr="00EB0CAF" w:rsidRDefault="00EB0CAF" w:rsidP="00AD5D59">
                  <w:pPr>
                    <w:pStyle w:val="ListParagraph"/>
                    <w:numPr>
                      <w:ilvl w:val="0"/>
                      <w:numId w:val="8"/>
                    </w:numPr>
                    <w:spacing w:line="300" w:lineRule="auto"/>
                    <w:ind w:left="318" w:hanging="284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EB0CAF">
                    <w:rPr>
                      <w:rFonts w:ascii="Arial" w:hAnsi="Arial" w:cs="Arial"/>
                      <w:sz w:val="18"/>
                    </w:rPr>
                    <w:t>Secure Facilities with different levels of access</w:t>
                  </w:r>
                </w:p>
              </w:tc>
            </w:tr>
            <w:tr w:rsidR="00EB0CAF" w14:paraId="4C457B3F" w14:textId="77777777" w:rsidTr="001D6D76">
              <w:trPr>
                <w:jc w:val="center"/>
              </w:trPr>
              <w:tc>
                <w:tcPr>
                  <w:tcW w:w="2268" w:type="dxa"/>
                  <w:vAlign w:val="center"/>
                </w:tcPr>
                <w:p w14:paraId="452007B3" w14:textId="77777777" w:rsidR="00EB0CAF" w:rsidRPr="00EB0CAF" w:rsidRDefault="00EB0CAF" w:rsidP="00AD5D59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EB0CAF">
                    <w:rPr>
                      <w:rFonts w:ascii="Arial" w:hAnsi="Arial" w:cs="Arial"/>
                      <w:sz w:val="18"/>
                    </w:rPr>
                    <w:t>Insurance</w:t>
                  </w:r>
                </w:p>
              </w:tc>
              <w:tc>
                <w:tcPr>
                  <w:tcW w:w="6440" w:type="dxa"/>
                  <w:vAlign w:val="center"/>
                </w:tcPr>
                <w:p w14:paraId="78D44A5F" w14:textId="77777777" w:rsidR="00EB0CAF" w:rsidRPr="00EB0CAF" w:rsidRDefault="00EB0CAF" w:rsidP="00AD5D59">
                  <w:pPr>
                    <w:pStyle w:val="ListParagraph"/>
                    <w:numPr>
                      <w:ilvl w:val="0"/>
                      <w:numId w:val="8"/>
                    </w:numPr>
                    <w:spacing w:line="300" w:lineRule="auto"/>
                    <w:ind w:left="318" w:hanging="284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EB0CAF">
                    <w:rPr>
                      <w:rFonts w:ascii="Arial" w:hAnsi="Arial" w:cs="Arial"/>
                      <w:sz w:val="18"/>
                    </w:rPr>
                    <w:t>Cover for damage, theft &amp; loss of goods (transportation &amp; storage)</w:t>
                  </w:r>
                </w:p>
                <w:p w14:paraId="03361161" w14:textId="77777777" w:rsidR="00EB0CAF" w:rsidRPr="00EB0CAF" w:rsidRDefault="00EB0CAF" w:rsidP="00AD5D59">
                  <w:pPr>
                    <w:pStyle w:val="ListParagraph"/>
                    <w:numPr>
                      <w:ilvl w:val="0"/>
                      <w:numId w:val="8"/>
                    </w:numPr>
                    <w:spacing w:line="300" w:lineRule="auto"/>
                    <w:ind w:left="318" w:hanging="284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EB0CAF">
                    <w:rPr>
                      <w:rFonts w:ascii="Arial" w:hAnsi="Arial" w:cs="Arial"/>
                      <w:sz w:val="18"/>
                    </w:rPr>
                    <w:t>Insurance claims services</w:t>
                  </w:r>
                </w:p>
              </w:tc>
            </w:tr>
            <w:tr w:rsidR="00EB0CAF" w14:paraId="66A08DC7" w14:textId="77777777" w:rsidTr="001D6D76">
              <w:trPr>
                <w:jc w:val="center"/>
              </w:trPr>
              <w:tc>
                <w:tcPr>
                  <w:tcW w:w="2268" w:type="dxa"/>
                  <w:vAlign w:val="center"/>
                </w:tcPr>
                <w:p w14:paraId="209604E5" w14:textId="77777777" w:rsidR="00EB0CAF" w:rsidRPr="00EB0CAF" w:rsidRDefault="00EB0CAF" w:rsidP="00AD5D59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EB0CAF">
                    <w:rPr>
                      <w:rFonts w:ascii="Arial" w:hAnsi="Arial" w:cs="Arial"/>
                      <w:sz w:val="18"/>
                    </w:rPr>
                    <w:t>Arrival services</w:t>
                  </w:r>
                </w:p>
              </w:tc>
              <w:tc>
                <w:tcPr>
                  <w:tcW w:w="6440" w:type="dxa"/>
                  <w:vAlign w:val="center"/>
                </w:tcPr>
                <w:p w14:paraId="364689FA" w14:textId="77777777" w:rsidR="00EB0CAF" w:rsidRPr="00EB0CAF" w:rsidRDefault="00EB0CAF" w:rsidP="00AD5D59">
                  <w:pPr>
                    <w:pStyle w:val="ListParagraph"/>
                    <w:numPr>
                      <w:ilvl w:val="0"/>
                      <w:numId w:val="8"/>
                    </w:numPr>
                    <w:spacing w:line="300" w:lineRule="auto"/>
                    <w:ind w:left="318" w:hanging="284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EB0CAF">
                    <w:rPr>
                      <w:rFonts w:ascii="Arial" w:hAnsi="Arial" w:cs="Arial"/>
                      <w:sz w:val="18"/>
                    </w:rPr>
                    <w:t>Meet and greet, airport transfers</w:t>
                  </w:r>
                </w:p>
                <w:p w14:paraId="4B280BEB" w14:textId="77777777" w:rsidR="00EB0CAF" w:rsidRPr="00EB0CAF" w:rsidRDefault="00EB0CAF" w:rsidP="00AD5D59">
                  <w:pPr>
                    <w:pStyle w:val="ListParagraph"/>
                    <w:numPr>
                      <w:ilvl w:val="0"/>
                      <w:numId w:val="8"/>
                    </w:numPr>
                    <w:spacing w:line="300" w:lineRule="auto"/>
                    <w:ind w:left="318" w:hanging="284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EB0CAF">
                    <w:rPr>
                      <w:rFonts w:ascii="Arial" w:hAnsi="Arial" w:cs="Arial"/>
                      <w:sz w:val="18"/>
                    </w:rPr>
                    <w:t>Welcome grocery packages</w:t>
                  </w:r>
                </w:p>
                <w:p w14:paraId="5A5E16E1" w14:textId="77777777" w:rsidR="00EB0CAF" w:rsidRPr="00EB0CAF" w:rsidRDefault="00EB0CAF" w:rsidP="00AD5D59">
                  <w:pPr>
                    <w:pStyle w:val="ListParagraph"/>
                    <w:numPr>
                      <w:ilvl w:val="0"/>
                      <w:numId w:val="8"/>
                    </w:numPr>
                    <w:spacing w:line="300" w:lineRule="auto"/>
                    <w:ind w:left="318" w:hanging="284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EB0CAF">
                    <w:rPr>
                      <w:rFonts w:ascii="Arial" w:hAnsi="Arial" w:cs="Arial"/>
                      <w:sz w:val="18"/>
                    </w:rPr>
                    <w:t>Local information packs</w:t>
                  </w:r>
                </w:p>
              </w:tc>
            </w:tr>
            <w:tr w:rsidR="00EB0CAF" w14:paraId="761AD973" w14:textId="77777777" w:rsidTr="001D6D76">
              <w:trPr>
                <w:jc w:val="center"/>
              </w:trPr>
              <w:tc>
                <w:tcPr>
                  <w:tcW w:w="2268" w:type="dxa"/>
                  <w:vAlign w:val="center"/>
                </w:tcPr>
                <w:p w14:paraId="386BF58B" w14:textId="77777777" w:rsidR="00EB0CAF" w:rsidRPr="00EB0CAF" w:rsidRDefault="00EB0CAF" w:rsidP="00AD5D59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EB0CAF">
                    <w:rPr>
                      <w:rFonts w:ascii="Arial" w:hAnsi="Arial" w:cs="Arial"/>
                      <w:sz w:val="18"/>
                    </w:rPr>
                    <w:t>Settling-in assistance</w:t>
                  </w:r>
                </w:p>
              </w:tc>
              <w:tc>
                <w:tcPr>
                  <w:tcW w:w="6440" w:type="dxa"/>
                  <w:vAlign w:val="center"/>
                </w:tcPr>
                <w:p w14:paraId="20B79EB4" w14:textId="77777777" w:rsidR="00EB0CAF" w:rsidRPr="00EB0CAF" w:rsidRDefault="00EB0CAF" w:rsidP="00AD5D59">
                  <w:pPr>
                    <w:pStyle w:val="BodyText"/>
                    <w:numPr>
                      <w:ilvl w:val="0"/>
                      <w:numId w:val="8"/>
                    </w:numPr>
                    <w:spacing w:after="0" w:line="300" w:lineRule="auto"/>
                    <w:ind w:left="318" w:hanging="284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EB0CAF">
                    <w:rPr>
                      <w:rFonts w:ascii="Arial" w:hAnsi="Arial" w:cs="Arial"/>
                      <w:sz w:val="18"/>
                      <w:szCs w:val="22"/>
                    </w:rPr>
                    <w:t>Destination orientation</w:t>
                  </w:r>
                </w:p>
                <w:p w14:paraId="3F5024A0" w14:textId="77777777" w:rsidR="00EB0CAF" w:rsidRPr="00EB0CAF" w:rsidRDefault="00EB0CAF" w:rsidP="00AD5D59">
                  <w:pPr>
                    <w:pStyle w:val="BodyText"/>
                    <w:numPr>
                      <w:ilvl w:val="0"/>
                      <w:numId w:val="8"/>
                    </w:numPr>
                    <w:spacing w:after="0" w:line="300" w:lineRule="auto"/>
                    <w:ind w:left="318" w:hanging="284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EB0CAF">
                    <w:rPr>
                      <w:rFonts w:ascii="Arial" w:hAnsi="Arial" w:cs="Arial"/>
                      <w:sz w:val="18"/>
                      <w:szCs w:val="22"/>
                    </w:rPr>
                    <w:t>Personal finance advice</w:t>
                  </w:r>
                </w:p>
                <w:p w14:paraId="0099E1AD" w14:textId="77777777" w:rsidR="00EB0CAF" w:rsidRPr="00EB0CAF" w:rsidRDefault="00EB0CAF" w:rsidP="00AD5D59">
                  <w:pPr>
                    <w:pStyle w:val="BodyText"/>
                    <w:numPr>
                      <w:ilvl w:val="0"/>
                      <w:numId w:val="8"/>
                    </w:numPr>
                    <w:spacing w:after="0" w:line="300" w:lineRule="auto"/>
                    <w:ind w:left="318" w:hanging="284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EB0CAF">
                    <w:rPr>
                      <w:rFonts w:ascii="Arial" w:hAnsi="Arial" w:cs="Arial"/>
                      <w:sz w:val="18"/>
                      <w:szCs w:val="22"/>
                    </w:rPr>
                    <w:t>Home search</w:t>
                  </w:r>
                </w:p>
                <w:p w14:paraId="2A734B44" w14:textId="77777777" w:rsidR="00EB0CAF" w:rsidRPr="00EB0CAF" w:rsidRDefault="00EB0CAF" w:rsidP="00AD5D59">
                  <w:pPr>
                    <w:pStyle w:val="BodyText"/>
                    <w:numPr>
                      <w:ilvl w:val="0"/>
                      <w:numId w:val="8"/>
                    </w:numPr>
                    <w:spacing w:after="0" w:line="300" w:lineRule="auto"/>
                    <w:ind w:left="318" w:hanging="284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EB0CAF">
                    <w:rPr>
                      <w:rFonts w:ascii="Arial" w:hAnsi="Arial" w:cs="Arial"/>
                      <w:sz w:val="18"/>
                      <w:szCs w:val="22"/>
                    </w:rPr>
                    <w:t>Temporary accommodation &amp; rental home assistance</w:t>
                  </w:r>
                </w:p>
                <w:p w14:paraId="241B49FF" w14:textId="77777777" w:rsidR="00EB0CAF" w:rsidRPr="00EB0CAF" w:rsidRDefault="00EB0CAF" w:rsidP="00AD5D59">
                  <w:pPr>
                    <w:pStyle w:val="BodyText"/>
                    <w:numPr>
                      <w:ilvl w:val="0"/>
                      <w:numId w:val="8"/>
                    </w:numPr>
                    <w:spacing w:after="0" w:line="300" w:lineRule="auto"/>
                    <w:ind w:left="318" w:hanging="284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EB0CAF">
                    <w:rPr>
                      <w:rFonts w:ascii="Arial" w:hAnsi="Arial" w:cs="Arial"/>
                      <w:sz w:val="18"/>
                      <w:szCs w:val="22"/>
                    </w:rPr>
                    <w:lastRenderedPageBreak/>
                    <w:t>Utilities set up</w:t>
                  </w:r>
                </w:p>
                <w:p w14:paraId="45F275E5" w14:textId="77777777" w:rsidR="00EB0CAF" w:rsidRPr="00EB0CAF" w:rsidRDefault="00EB0CAF" w:rsidP="00AD5D59">
                  <w:pPr>
                    <w:pStyle w:val="BodyText"/>
                    <w:numPr>
                      <w:ilvl w:val="0"/>
                      <w:numId w:val="8"/>
                    </w:numPr>
                    <w:spacing w:after="0" w:line="300" w:lineRule="auto"/>
                    <w:ind w:left="318" w:hanging="284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EB0CAF">
                    <w:rPr>
                      <w:rFonts w:ascii="Arial" w:hAnsi="Arial" w:cs="Arial"/>
                      <w:sz w:val="18"/>
                      <w:szCs w:val="22"/>
                    </w:rPr>
                    <w:t>School selection</w:t>
                  </w:r>
                </w:p>
                <w:p w14:paraId="01A1A182" w14:textId="77777777" w:rsidR="00EB0CAF" w:rsidRPr="00EB0CAF" w:rsidRDefault="00EB0CAF" w:rsidP="00AD5D59">
                  <w:pPr>
                    <w:pStyle w:val="BodyText"/>
                    <w:numPr>
                      <w:ilvl w:val="0"/>
                      <w:numId w:val="8"/>
                    </w:numPr>
                    <w:spacing w:after="0" w:line="300" w:lineRule="auto"/>
                    <w:ind w:left="318" w:hanging="284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EB0CAF">
                    <w:rPr>
                      <w:rFonts w:ascii="Arial" w:hAnsi="Arial" w:cs="Arial"/>
                      <w:sz w:val="18"/>
                      <w:szCs w:val="22"/>
                    </w:rPr>
                    <w:t>Car purchase</w:t>
                  </w:r>
                </w:p>
                <w:p w14:paraId="30BDA2C9" w14:textId="77777777" w:rsidR="00EB0CAF" w:rsidRPr="00EB0CAF" w:rsidRDefault="00EB0CAF" w:rsidP="00AD5D59">
                  <w:pPr>
                    <w:pStyle w:val="BodyText"/>
                    <w:numPr>
                      <w:ilvl w:val="0"/>
                      <w:numId w:val="8"/>
                    </w:numPr>
                    <w:spacing w:after="0" w:line="300" w:lineRule="auto"/>
                    <w:ind w:left="318" w:hanging="284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EB0CAF">
                    <w:rPr>
                      <w:rFonts w:ascii="Arial" w:hAnsi="Arial" w:cs="Arial"/>
                      <w:sz w:val="18"/>
                      <w:szCs w:val="22"/>
                    </w:rPr>
                    <w:t>Partner/family support programme including job search advice</w:t>
                  </w:r>
                </w:p>
              </w:tc>
            </w:tr>
            <w:tr w:rsidR="00EB0CAF" w14:paraId="7638B9F7" w14:textId="77777777" w:rsidTr="001D6D76">
              <w:trPr>
                <w:jc w:val="center"/>
              </w:trPr>
              <w:tc>
                <w:tcPr>
                  <w:tcW w:w="2268" w:type="dxa"/>
                  <w:vAlign w:val="center"/>
                </w:tcPr>
                <w:p w14:paraId="7F1513B6" w14:textId="77777777" w:rsidR="00EB0CAF" w:rsidRPr="00EB0CAF" w:rsidRDefault="00EB0CAF" w:rsidP="00AD5D59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EB0CAF">
                    <w:rPr>
                      <w:rFonts w:ascii="Arial" w:hAnsi="Arial" w:cs="Arial"/>
                      <w:sz w:val="18"/>
                    </w:rPr>
                    <w:lastRenderedPageBreak/>
                    <w:t>Cultural orientation</w:t>
                  </w:r>
                </w:p>
              </w:tc>
              <w:tc>
                <w:tcPr>
                  <w:tcW w:w="6440" w:type="dxa"/>
                  <w:vAlign w:val="center"/>
                </w:tcPr>
                <w:p w14:paraId="66A22A2C" w14:textId="77777777" w:rsidR="00EB0CAF" w:rsidRPr="00EB0CAF" w:rsidRDefault="00EB0CAF" w:rsidP="00AD5D59">
                  <w:pPr>
                    <w:pStyle w:val="ListParagraph"/>
                    <w:numPr>
                      <w:ilvl w:val="0"/>
                      <w:numId w:val="8"/>
                    </w:numPr>
                    <w:spacing w:line="300" w:lineRule="auto"/>
                    <w:ind w:left="318" w:hanging="284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EB0CAF">
                    <w:rPr>
                      <w:rFonts w:ascii="Arial" w:hAnsi="Arial" w:cs="Arial"/>
                      <w:sz w:val="18"/>
                    </w:rPr>
                    <w:t>Country specific programmes including business practices, daily life, communication, language training, repatriation training</w:t>
                  </w:r>
                </w:p>
              </w:tc>
            </w:tr>
            <w:tr w:rsidR="00EB0CAF" w14:paraId="1B20476D" w14:textId="77777777" w:rsidTr="001D6D76">
              <w:trPr>
                <w:jc w:val="center"/>
              </w:trPr>
              <w:tc>
                <w:tcPr>
                  <w:tcW w:w="2268" w:type="dxa"/>
                  <w:vAlign w:val="center"/>
                </w:tcPr>
                <w:p w14:paraId="79432CB7" w14:textId="77777777" w:rsidR="00EB0CAF" w:rsidRPr="00EB0CAF" w:rsidRDefault="00EB0CAF" w:rsidP="00AD5D59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EB0CAF">
                    <w:rPr>
                      <w:rFonts w:ascii="Arial" w:hAnsi="Arial" w:cs="Arial"/>
                      <w:sz w:val="18"/>
                    </w:rPr>
                    <w:t>Pet relocation</w:t>
                  </w:r>
                </w:p>
              </w:tc>
              <w:tc>
                <w:tcPr>
                  <w:tcW w:w="6440" w:type="dxa"/>
                  <w:vAlign w:val="center"/>
                </w:tcPr>
                <w:p w14:paraId="21176F94" w14:textId="77777777" w:rsidR="00EB0CAF" w:rsidRPr="00EB0CAF" w:rsidRDefault="00EB0CAF" w:rsidP="00AD5D59">
                  <w:pPr>
                    <w:pStyle w:val="ListParagraph"/>
                    <w:numPr>
                      <w:ilvl w:val="0"/>
                      <w:numId w:val="8"/>
                    </w:numPr>
                    <w:spacing w:line="300" w:lineRule="auto"/>
                    <w:ind w:left="318" w:hanging="284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EB0CAF">
                    <w:rPr>
                      <w:rFonts w:ascii="Arial" w:hAnsi="Arial" w:cs="Arial"/>
                      <w:sz w:val="18"/>
                    </w:rPr>
                    <w:t>Assistance relocating pets</w:t>
                  </w:r>
                </w:p>
              </w:tc>
            </w:tr>
          </w:tbl>
          <w:p w14:paraId="4060DF17" w14:textId="77777777" w:rsidR="00EB0CAF" w:rsidRDefault="00EB0CAF" w:rsidP="00AD5D59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  <w:tr w:rsidR="00EB0CAF" w14:paraId="206084CF" w14:textId="77777777" w:rsidTr="00AD5D59">
        <w:tc>
          <w:tcPr>
            <w:tcW w:w="9242" w:type="dxa"/>
            <w:gridSpan w:val="2"/>
          </w:tcPr>
          <w:p w14:paraId="4A08E4B8" w14:textId="77777777" w:rsidR="00EB0CAF" w:rsidRDefault="00EB0CAF" w:rsidP="004B33D8">
            <w:pPr>
              <w:jc w:val="both"/>
              <w:rPr>
                <w:rFonts w:ascii="Arial" w:hAnsi="Arial" w:cs="Arial"/>
                <w:sz w:val="20"/>
              </w:rPr>
            </w:pPr>
          </w:p>
          <w:p w14:paraId="523B45C7" w14:textId="77777777" w:rsidR="00EB0CAF" w:rsidRDefault="00EB0CAF" w:rsidP="00742D7F">
            <w:pPr>
              <w:jc w:val="both"/>
              <w:rPr>
                <w:rFonts w:ascii="Arial" w:hAnsi="Arial" w:cs="Arial"/>
                <w:sz w:val="20"/>
              </w:rPr>
            </w:pPr>
            <w:r w:rsidRPr="00EB0CAF">
              <w:rPr>
                <w:rFonts w:ascii="Arial" w:hAnsi="Arial" w:cs="Arial"/>
                <w:sz w:val="20"/>
              </w:rPr>
              <w:t xml:space="preserve">You can purchase these services as discrete or bundled services. Some suppliers may offer </w:t>
            </w:r>
            <w:r w:rsidR="00742D7F">
              <w:rPr>
                <w:rFonts w:ascii="Arial" w:hAnsi="Arial" w:cs="Arial"/>
                <w:sz w:val="20"/>
              </w:rPr>
              <w:t>discounts on bundles of service.</w:t>
            </w:r>
          </w:p>
          <w:p w14:paraId="46F0C274" w14:textId="77777777" w:rsidR="00CF191D" w:rsidRDefault="00CF191D" w:rsidP="00742D7F">
            <w:pPr>
              <w:jc w:val="both"/>
              <w:rPr>
                <w:rFonts w:ascii="Arial" w:hAnsi="Arial" w:cs="Arial"/>
                <w:sz w:val="20"/>
              </w:rPr>
            </w:pPr>
          </w:p>
          <w:p w14:paraId="1D60A9D8" w14:textId="723C2DB6" w:rsidR="00CF191D" w:rsidRPr="00EB0CAF" w:rsidRDefault="00CF191D" w:rsidP="00742D7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consult the </w:t>
            </w:r>
            <w:hyperlink r:id="rId12" w:history="1">
              <w:r w:rsidRPr="00532429">
                <w:rPr>
                  <w:rStyle w:val="Hyperlink"/>
                  <w:rFonts w:ascii="Arial" w:hAnsi="Arial" w:cs="Arial"/>
                  <w:sz w:val="20"/>
                </w:rPr>
                <w:t>Relocation Checklist.</w:t>
              </w:r>
            </w:hyperlink>
          </w:p>
        </w:tc>
      </w:tr>
      <w:tr w:rsidR="00EB0CAF" w14:paraId="22D320A8" w14:textId="77777777" w:rsidTr="00AD5D59">
        <w:tc>
          <w:tcPr>
            <w:tcW w:w="9242" w:type="dxa"/>
            <w:gridSpan w:val="2"/>
          </w:tcPr>
          <w:p w14:paraId="31D3BBA9" w14:textId="77777777" w:rsidR="00EB0CAF" w:rsidRDefault="00EB0CAF" w:rsidP="004B33D8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</w:tr>
      <w:tr w:rsidR="00EB0CAF" w14:paraId="692E9B45" w14:textId="77777777" w:rsidTr="00AD5D59">
        <w:tc>
          <w:tcPr>
            <w:tcW w:w="9242" w:type="dxa"/>
            <w:gridSpan w:val="2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93"/>
              <w:gridCol w:w="6254"/>
            </w:tblGrid>
            <w:tr w:rsidR="00EB0CAF" w14:paraId="4A6624BC" w14:textId="77777777" w:rsidTr="00742D7F">
              <w:trPr>
                <w:jc w:val="center"/>
              </w:trPr>
              <w:tc>
                <w:tcPr>
                  <w:tcW w:w="2093" w:type="dxa"/>
                  <w:shd w:val="clear" w:color="auto" w:fill="B2A1C7" w:themeFill="accent4" w:themeFillTint="99"/>
                </w:tcPr>
                <w:p w14:paraId="189893D7" w14:textId="77777777" w:rsidR="00EB0CAF" w:rsidRPr="005F10DF" w:rsidRDefault="00EB0CAF" w:rsidP="001D6D76">
                  <w:pPr>
                    <w:rPr>
                      <w:b/>
                    </w:rPr>
                  </w:pPr>
                  <w:r w:rsidRPr="005F10DF">
                    <w:rPr>
                      <w:b/>
                    </w:rPr>
                    <w:t>Supplier</w:t>
                  </w:r>
                </w:p>
              </w:tc>
              <w:tc>
                <w:tcPr>
                  <w:tcW w:w="6254" w:type="dxa"/>
                  <w:shd w:val="clear" w:color="auto" w:fill="B2A1C7" w:themeFill="accent4" w:themeFillTint="99"/>
                </w:tcPr>
                <w:p w14:paraId="306C6B89" w14:textId="77777777" w:rsidR="00EB0CAF" w:rsidRPr="005F10DF" w:rsidRDefault="00EB0CAF" w:rsidP="001D6D76">
                  <w:pPr>
                    <w:rPr>
                      <w:b/>
                    </w:rPr>
                  </w:pPr>
                  <w:r w:rsidRPr="005F10DF">
                    <w:rPr>
                      <w:b/>
                    </w:rPr>
                    <w:t xml:space="preserve">Account Manager </w:t>
                  </w:r>
                  <w:r w:rsidR="00A07040">
                    <w:rPr>
                      <w:b/>
                    </w:rPr>
                    <w:t xml:space="preserve">Contact </w:t>
                  </w:r>
                  <w:r w:rsidRPr="005F10DF">
                    <w:rPr>
                      <w:b/>
                    </w:rPr>
                    <w:t>Details</w:t>
                  </w:r>
                </w:p>
              </w:tc>
            </w:tr>
            <w:tr w:rsidR="00EB0CAF" w14:paraId="6194DCCA" w14:textId="77777777" w:rsidTr="00AF17EE">
              <w:trPr>
                <w:trHeight w:val="576"/>
                <w:jc w:val="center"/>
              </w:trPr>
              <w:tc>
                <w:tcPr>
                  <w:tcW w:w="2093" w:type="dxa"/>
                </w:tcPr>
                <w:p w14:paraId="4B9C2274" w14:textId="77777777" w:rsidR="00EB0CAF" w:rsidRPr="004B6A10" w:rsidRDefault="00EB0CAF" w:rsidP="001D6D7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6A10">
                    <w:rPr>
                      <w:rFonts w:ascii="Arial" w:hAnsi="Arial" w:cs="Arial"/>
                      <w:sz w:val="20"/>
                      <w:szCs w:val="20"/>
                    </w:rPr>
                    <w:t>Robinsons Relocation</w:t>
                  </w:r>
                </w:p>
              </w:tc>
              <w:tc>
                <w:tcPr>
                  <w:tcW w:w="6254" w:type="dxa"/>
                </w:tcPr>
                <w:p w14:paraId="3FE29408" w14:textId="77777777" w:rsidR="00EB0CAF" w:rsidRPr="004B6A10" w:rsidRDefault="004B33D8" w:rsidP="001D6D7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B6A1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(e) </w:t>
                  </w:r>
                  <w:hyperlink r:id="rId13" w:history="1">
                    <w:r w:rsidR="00EF0BA9" w:rsidRPr="004B6A10">
                      <w:rPr>
                        <w:rStyle w:val="Hyperlink"/>
                        <w:rFonts w:ascii="Arial" w:hAnsi="Arial" w:cs="Arial"/>
                        <w:b/>
                        <w:sz w:val="20"/>
                        <w:szCs w:val="20"/>
                      </w:rPr>
                      <w:t>UCL@robinsonsrelo.com</w:t>
                    </w:r>
                  </w:hyperlink>
                </w:p>
                <w:p w14:paraId="7255D337" w14:textId="77777777" w:rsidR="00EB0CAF" w:rsidRPr="004B6A10" w:rsidRDefault="004B33D8" w:rsidP="001D6D76">
                  <w:pPr>
                    <w:rPr>
                      <w:rFonts w:ascii="Arial" w:hAnsi="Arial" w:cs="Arial"/>
                      <w:color w:val="2E75B6"/>
                      <w:sz w:val="20"/>
                      <w:szCs w:val="20"/>
                    </w:rPr>
                  </w:pPr>
                  <w:r w:rsidRPr="004B6A1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(t) </w:t>
                  </w:r>
                  <w:r w:rsidR="00AF17EE" w:rsidRPr="004B6A10">
                    <w:rPr>
                      <w:rFonts w:ascii="Arial" w:hAnsi="Arial" w:cs="Arial"/>
                      <w:b/>
                      <w:sz w:val="20"/>
                      <w:szCs w:val="20"/>
                    </w:rPr>
                    <w:t>+44(0)1235 552285</w:t>
                  </w:r>
                  <w:r w:rsidR="00AF17EE" w:rsidRPr="004B6A10">
                    <w:rPr>
                      <w:rFonts w:ascii="Arial" w:hAnsi="Arial" w:cs="Arial"/>
                      <w:color w:val="2E75B6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B0CAF" w14:paraId="756769F1" w14:textId="77777777" w:rsidTr="00EF0BA9">
              <w:trPr>
                <w:trHeight w:val="558"/>
                <w:jc w:val="center"/>
              </w:trPr>
              <w:tc>
                <w:tcPr>
                  <w:tcW w:w="2093" w:type="dxa"/>
                </w:tcPr>
                <w:p w14:paraId="26E71C4F" w14:textId="77777777" w:rsidR="00EB0CAF" w:rsidRPr="004B6A10" w:rsidRDefault="00EB0CAF" w:rsidP="001D6D7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4B6A10">
                    <w:rPr>
                      <w:rFonts w:ascii="Arial" w:hAnsi="Arial" w:cs="Arial"/>
                      <w:sz w:val="20"/>
                      <w:szCs w:val="20"/>
                    </w:rPr>
                    <w:t>Pickfords</w:t>
                  </w:r>
                  <w:proofErr w:type="spellEnd"/>
                </w:p>
              </w:tc>
              <w:tc>
                <w:tcPr>
                  <w:tcW w:w="6254" w:type="dxa"/>
                </w:tcPr>
                <w:p w14:paraId="0B35BDE5" w14:textId="77777777" w:rsidR="004B33D8" w:rsidRPr="004B6A10" w:rsidRDefault="004B33D8" w:rsidP="004B33D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B6A1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(e) </w:t>
                  </w:r>
                  <w:hyperlink r:id="rId14" w:history="1">
                    <w:r w:rsidR="00EF0BA9" w:rsidRPr="004B6A10">
                      <w:rPr>
                        <w:rStyle w:val="Hyperlink"/>
                        <w:rFonts w:ascii="Arial" w:hAnsi="Arial" w:cs="Arial"/>
                        <w:b/>
                        <w:sz w:val="20"/>
                        <w:szCs w:val="20"/>
                      </w:rPr>
                      <w:t>ucl@pickfords.com</w:t>
                    </w:r>
                  </w:hyperlink>
                  <w:r w:rsidR="00EF0BA9" w:rsidRPr="004B6A1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27C2C0B3" w14:textId="77777777" w:rsidR="00EB0CAF" w:rsidRPr="004B6A10" w:rsidRDefault="004B33D8" w:rsidP="004B33D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B6A10">
                    <w:rPr>
                      <w:rFonts w:ascii="Arial" w:hAnsi="Arial" w:cs="Arial"/>
                      <w:b/>
                      <w:sz w:val="20"/>
                      <w:szCs w:val="20"/>
                    </w:rPr>
                    <w:t>(t) +44 (0) 20 3701 4930</w:t>
                  </w:r>
                </w:p>
              </w:tc>
            </w:tr>
            <w:tr w:rsidR="00EB0CAF" w14:paraId="5D171C70" w14:textId="77777777" w:rsidTr="00EF0BA9">
              <w:trPr>
                <w:trHeight w:val="552"/>
                <w:jc w:val="center"/>
              </w:trPr>
              <w:tc>
                <w:tcPr>
                  <w:tcW w:w="2093" w:type="dxa"/>
                </w:tcPr>
                <w:p w14:paraId="1B58375E" w14:textId="70481A10" w:rsidR="00EB0CAF" w:rsidRPr="004B6A10" w:rsidRDefault="006B455E" w:rsidP="001D6D7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6A10">
                    <w:rPr>
                      <w:rFonts w:ascii="Arial" w:hAnsi="Arial" w:cs="Arial"/>
                      <w:sz w:val="20"/>
                      <w:szCs w:val="20"/>
                    </w:rPr>
                    <w:t>Lexicon Relocation (Formerly Connells)</w:t>
                  </w:r>
                </w:p>
              </w:tc>
              <w:tc>
                <w:tcPr>
                  <w:tcW w:w="6254" w:type="dxa"/>
                </w:tcPr>
                <w:p w14:paraId="2250CB85" w14:textId="63EAD64B" w:rsidR="00CA797C" w:rsidRPr="004B6A10" w:rsidRDefault="00CA797C" w:rsidP="001D6D7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B6A10">
                    <w:rPr>
                      <w:rFonts w:ascii="Arial" w:hAnsi="Arial" w:cs="Arial"/>
                      <w:b/>
                      <w:sz w:val="20"/>
                      <w:szCs w:val="20"/>
                    </w:rPr>
                    <w:t>(e)</w:t>
                  </w:r>
                  <w:r w:rsidR="006B455E" w:rsidRPr="004B6A1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hyperlink r:id="rId15" w:history="1">
                    <w:r w:rsidR="00234CEA" w:rsidRPr="00234CEA">
                      <w:rPr>
                        <w:rStyle w:val="Hyperlink"/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t>lexiconucl@sterlinglexicon.com</w:t>
                    </w:r>
                  </w:hyperlink>
                </w:p>
                <w:p w14:paraId="109C73E7" w14:textId="77777777" w:rsidR="00CA797C" w:rsidRPr="004B6A10" w:rsidRDefault="00CA797C" w:rsidP="001D6D7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6A10">
                    <w:rPr>
                      <w:rFonts w:ascii="Arial" w:hAnsi="Arial" w:cs="Arial"/>
                      <w:b/>
                      <w:sz w:val="20"/>
                      <w:szCs w:val="20"/>
                    </w:rPr>
                    <w:t>(t) +44 (0) 1635 271 215</w:t>
                  </w:r>
                </w:p>
              </w:tc>
            </w:tr>
          </w:tbl>
          <w:p w14:paraId="5AAAE561" w14:textId="77777777" w:rsidR="00EB0CAF" w:rsidRDefault="00EB0CAF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EB0CAF" w14:paraId="00DFD376" w14:textId="77777777" w:rsidTr="00AD5D59">
        <w:tc>
          <w:tcPr>
            <w:tcW w:w="9242" w:type="dxa"/>
            <w:gridSpan w:val="2"/>
          </w:tcPr>
          <w:p w14:paraId="3C078886" w14:textId="77777777" w:rsidR="00EB0CAF" w:rsidRDefault="00EB0CAF" w:rsidP="001D6D76">
            <w:pPr>
              <w:rPr>
                <w:b/>
              </w:rPr>
            </w:pPr>
          </w:p>
          <w:p w14:paraId="080D4A16" w14:textId="77777777" w:rsidR="00CA797C" w:rsidRPr="005F10DF" w:rsidRDefault="00CA797C" w:rsidP="001D6D76">
            <w:pPr>
              <w:rPr>
                <w:b/>
              </w:rPr>
            </w:pPr>
          </w:p>
        </w:tc>
      </w:tr>
      <w:tr w:rsidR="00EB0CAF" w14:paraId="522AD28A" w14:textId="77777777" w:rsidTr="00742D7F">
        <w:trPr>
          <w:trHeight w:val="470"/>
        </w:trPr>
        <w:tc>
          <w:tcPr>
            <w:tcW w:w="9242" w:type="dxa"/>
            <w:gridSpan w:val="2"/>
            <w:shd w:val="clear" w:color="auto" w:fill="403152" w:themeFill="accent4" w:themeFillShade="80"/>
            <w:vAlign w:val="center"/>
          </w:tcPr>
          <w:p w14:paraId="25C00274" w14:textId="77777777" w:rsidR="00EB0CAF" w:rsidRPr="004B33D8" w:rsidRDefault="00EB0CAF" w:rsidP="00AD5D59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4B33D8">
              <w:rPr>
                <w:rFonts w:ascii="Arial" w:hAnsi="Arial" w:cs="Arial"/>
                <w:b/>
                <w:u w:val="single"/>
              </w:rPr>
              <w:t>Choosing a Supplier</w:t>
            </w:r>
          </w:p>
        </w:tc>
      </w:tr>
      <w:tr w:rsidR="00EB0CAF" w14:paraId="400E93DA" w14:textId="77777777" w:rsidTr="00AD5D59">
        <w:tc>
          <w:tcPr>
            <w:tcW w:w="9242" w:type="dxa"/>
            <w:gridSpan w:val="2"/>
          </w:tcPr>
          <w:p w14:paraId="4FDBD887" w14:textId="77777777" w:rsidR="00EB0CAF" w:rsidRPr="005F10DF" w:rsidRDefault="00EB0CAF" w:rsidP="001D6D76">
            <w:pPr>
              <w:rPr>
                <w:b/>
              </w:rPr>
            </w:pPr>
          </w:p>
        </w:tc>
      </w:tr>
      <w:tr w:rsidR="00EB0CAF" w14:paraId="03999C00" w14:textId="77777777" w:rsidTr="004B6A10">
        <w:trPr>
          <w:trHeight w:val="1253"/>
        </w:trPr>
        <w:tc>
          <w:tcPr>
            <w:tcW w:w="9242" w:type="dxa"/>
            <w:gridSpan w:val="2"/>
          </w:tcPr>
          <w:p w14:paraId="0A4ADFC0" w14:textId="11A16E9A" w:rsidR="00424AA7" w:rsidRDefault="00424AA7" w:rsidP="00424AA7">
            <w:pPr>
              <w:pStyle w:val="ListParagraph"/>
              <w:numPr>
                <w:ilvl w:val="0"/>
                <w:numId w:val="5"/>
              </w:numPr>
              <w:ind w:left="284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See the </w:t>
            </w:r>
            <w:hyperlink r:id="rId16" w:history="1">
              <w:r w:rsidR="00570818" w:rsidRPr="00C64C36">
                <w:rPr>
                  <w:rStyle w:val="Hyperlink"/>
                  <w:rFonts w:ascii="Arial" w:hAnsi="Arial" w:cs="Arial"/>
                  <w:sz w:val="20"/>
                </w:rPr>
                <w:t>appointee</w:t>
              </w:r>
              <w:r w:rsidRPr="00C64C36">
                <w:rPr>
                  <w:rStyle w:val="Hyperlink"/>
                  <w:rFonts w:ascii="Arial" w:hAnsi="Arial" w:cs="Arial"/>
                  <w:sz w:val="20"/>
                </w:rPr>
                <w:t xml:space="preserve"> flow chart</w:t>
              </w:r>
            </w:hyperlink>
            <w:r>
              <w:rPr>
                <w:rFonts w:ascii="Arial" w:hAnsi="Arial" w:cs="Arial"/>
                <w:sz w:val="20"/>
              </w:rPr>
              <w:t xml:space="preserve"> for details of the </w:t>
            </w:r>
            <w:hyperlink r:id="rId17" w:history="1">
              <w:r w:rsidRPr="00D13676">
                <w:rPr>
                  <w:rStyle w:val="Hyperlink"/>
                  <w:rFonts w:ascii="Arial" w:hAnsi="Arial" w:cs="Arial"/>
                  <w:sz w:val="20"/>
                </w:rPr>
                <w:t>form</w:t>
              </w:r>
            </w:hyperlink>
            <w:r>
              <w:rPr>
                <w:rFonts w:ascii="Arial" w:hAnsi="Arial" w:cs="Arial"/>
                <w:sz w:val="20"/>
              </w:rPr>
              <w:t xml:space="preserve"> you must complete and send to Finance, in order to confirm your eligibility and allowance.   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75767C26" w14:textId="77777777" w:rsidR="00AD5D59" w:rsidRPr="00AD5D59" w:rsidRDefault="00742D7F" w:rsidP="00742D7F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Use the supplier </w:t>
            </w:r>
            <w:r w:rsidR="00051F9D">
              <w:rPr>
                <w:rFonts w:ascii="Arial" w:hAnsi="Arial" w:cs="Arial"/>
                <w:sz w:val="20"/>
              </w:rPr>
              <w:t>profiles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341145">
              <w:rPr>
                <w:rFonts w:ascii="Arial" w:hAnsi="Arial" w:cs="Arial"/>
                <w:sz w:val="20"/>
              </w:rPr>
              <w:t xml:space="preserve">below </w:t>
            </w:r>
            <w:r w:rsidR="00AD5D59" w:rsidRPr="00AD5D59">
              <w:rPr>
                <w:rFonts w:ascii="Arial" w:hAnsi="Arial" w:cs="Arial"/>
                <w:sz w:val="20"/>
              </w:rPr>
              <w:t xml:space="preserve">to find out </w:t>
            </w:r>
            <w:r w:rsidR="0026663D">
              <w:rPr>
                <w:rFonts w:ascii="Arial" w:hAnsi="Arial" w:cs="Arial"/>
                <w:sz w:val="20"/>
              </w:rPr>
              <w:t xml:space="preserve">more </w:t>
            </w:r>
            <w:r w:rsidR="00AD5D59" w:rsidRPr="00AD5D59">
              <w:rPr>
                <w:rFonts w:ascii="Arial" w:hAnsi="Arial" w:cs="Arial"/>
                <w:sz w:val="20"/>
              </w:rPr>
              <w:t>information about our suppliers.</w:t>
            </w:r>
          </w:p>
          <w:p w14:paraId="5D85AEDF" w14:textId="77777777" w:rsidR="00AD5D59" w:rsidRPr="00AD5D59" w:rsidRDefault="00AD5D59" w:rsidP="00742D7F">
            <w:pPr>
              <w:ind w:left="284" w:hanging="284"/>
              <w:jc w:val="both"/>
              <w:rPr>
                <w:rFonts w:ascii="Arial" w:hAnsi="Arial" w:cs="Arial"/>
                <w:sz w:val="20"/>
              </w:rPr>
            </w:pPr>
          </w:p>
          <w:p w14:paraId="6C927E98" w14:textId="77A42511" w:rsidR="00AD5D59" w:rsidRPr="007E752C" w:rsidRDefault="007E752C" w:rsidP="00742D7F">
            <w:pPr>
              <w:ind w:left="284" w:hanging="284"/>
              <w:jc w:val="both"/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HYPERLINK "https://www.ucl.ac.uk/human-resources/sites/human-resources/files/university_college_of_london_-_robinson_factsheet_0.pdf"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B455E" w:rsidRPr="007E752C">
              <w:rPr>
                <w:rStyle w:val="Hyperlink"/>
                <w:rFonts w:ascii="Arial" w:hAnsi="Arial" w:cs="Arial"/>
                <w:b/>
                <w:sz w:val="20"/>
                <w:szCs w:val="20"/>
              </w:rPr>
              <w:t>Robinsons Relocation</w:t>
            </w:r>
            <w:r w:rsidR="00341145" w:rsidRPr="007E752C">
              <w:rPr>
                <w:rStyle w:val="Hyperlink"/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B0F8867" w14:textId="3A5714FF" w:rsidR="00341145" w:rsidRPr="004B6A10" w:rsidRDefault="007E752C" w:rsidP="00742D7F">
            <w:pPr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hyperlink r:id="rId18" w:history="1">
              <w:r w:rsidR="006B455E" w:rsidRPr="004B6A1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Lexicon Relocation (Formerly Connells)</w:t>
              </w:r>
            </w:hyperlink>
          </w:p>
          <w:p w14:paraId="2DF0A293" w14:textId="65F6BCEB" w:rsidR="00341145" w:rsidRPr="005F10DF" w:rsidRDefault="00000000" w:rsidP="00742D7F">
            <w:pPr>
              <w:ind w:left="284" w:hanging="284"/>
              <w:jc w:val="both"/>
              <w:rPr>
                <w:b/>
              </w:rPr>
            </w:pPr>
            <w:hyperlink r:id="rId19" w:history="1">
              <w:proofErr w:type="spellStart"/>
              <w:r w:rsidR="00341145" w:rsidRPr="004B6A1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Pickfords</w:t>
              </w:r>
              <w:proofErr w:type="spellEnd"/>
            </w:hyperlink>
            <w:r w:rsidR="00341145">
              <w:rPr>
                <w:b/>
              </w:rPr>
              <w:t xml:space="preserve"> </w:t>
            </w:r>
          </w:p>
        </w:tc>
      </w:tr>
      <w:tr w:rsidR="00AD5D59" w:rsidRPr="00AD26B6" w14:paraId="621E0E80" w14:textId="77777777" w:rsidTr="00AD5D59">
        <w:tc>
          <w:tcPr>
            <w:tcW w:w="9242" w:type="dxa"/>
            <w:gridSpan w:val="2"/>
          </w:tcPr>
          <w:p w14:paraId="37026120" w14:textId="77777777" w:rsidR="00742D7F" w:rsidRPr="00AD26B6" w:rsidRDefault="00742D7F" w:rsidP="00742D7F">
            <w:pPr>
              <w:pStyle w:val="ListParagraph"/>
              <w:ind w:left="284" w:hanging="284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  <w:p w14:paraId="7154DA25" w14:textId="77777777" w:rsidR="00742D7F" w:rsidRPr="00AD26B6" w:rsidRDefault="00742D7F" w:rsidP="00742D7F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AD26B6">
              <w:rPr>
                <w:rFonts w:ascii="Arial" w:hAnsi="Arial" w:cs="Arial"/>
                <w:sz w:val="20"/>
              </w:rPr>
              <w:t>P</w:t>
            </w:r>
            <w:r w:rsidR="00051F9D" w:rsidRPr="00AD26B6">
              <w:rPr>
                <w:rFonts w:ascii="Arial" w:hAnsi="Arial" w:cs="Arial"/>
                <w:sz w:val="20"/>
              </w:rPr>
              <w:t>lease obtain at least two quotes</w:t>
            </w:r>
            <w:r w:rsidRPr="00AD26B6">
              <w:rPr>
                <w:rFonts w:ascii="Arial" w:hAnsi="Arial" w:cs="Arial"/>
                <w:sz w:val="20"/>
              </w:rPr>
              <w:t>) for your requirements. This will ensure that you get the best available price.</w:t>
            </w:r>
            <w:r w:rsidRPr="00AD26B6">
              <w:rPr>
                <w:rFonts w:ascii="Arial" w:hAnsi="Arial" w:cs="Arial"/>
                <w:b/>
                <w:i/>
                <w:sz w:val="20"/>
              </w:rPr>
              <w:t xml:space="preserve"> Remember the cheapest supplier may not always be the best option if you have a particularly specialist requirement (e.g. moving lab equipment or valuable items)</w:t>
            </w:r>
            <w:r w:rsidR="0026663D">
              <w:rPr>
                <w:rFonts w:ascii="Arial" w:hAnsi="Arial" w:cs="Arial"/>
                <w:b/>
                <w:i/>
                <w:sz w:val="20"/>
              </w:rPr>
              <w:t>.</w:t>
            </w:r>
          </w:p>
          <w:p w14:paraId="5F41AF42" w14:textId="77777777" w:rsidR="00742D7F" w:rsidRPr="00AD26B6" w:rsidRDefault="00742D7F" w:rsidP="00742D7F">
            <w:pPr>
              <w:pStyle w:val="ListParagraph"/>
              <w:ind w:left="284" w:hanging="284"/>
              <w:jc w:val="both"/>
              <w:rPr>
                <w:rFonts w:ascii="Arial" w:hAnsi="Arial" w:cs="Arial"/>
                <w:sz w:val="20"/>
              </w:rPr>
            </w:pPr>
          </w:p>
          <w:p w14:paraId="75ED4D84" w14:textId="77777777" w:rsidR="00742D7F" w:rsidRPr="00AD26B6" w:rsidRDefault="00AD5D59" w:rsidP="00742D7F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20"/>
              </w:rPr>
            </w:pPr>
            <w:r w:rsidRPr="00AD26B6">
              <w:rPr>
                <w:rFonts w:ascii="Arial" w:hAnsi="Arial" w:cs="Arial"/>
                <w:sz w:val="20"/>
              </w:rPr>
              <w:t xml:space="preserve">Feel free to ring up the </w:t>
            </w:r>
            <w:r w:rsidR="00CA797C" w:rsidRPr="00AD26B6">
              <w:rPr>
                <w:rFonts w:ascii="Arial" w:hAnsi="Arial" w:cs="Arial"/>
                <w:sz w:val="20"/>
              </w:rPr>
              <w:t>suppliers</w:t>
            </w:r>
            <w:r w:rsidRPr="00AD26B6">
              <w:rPr>
                <w:rFonts w:ascii="Arial" w:hAnsi="Arial" w:cs="Arial"/>
                <w:sz w:val="20"/>
              </w:rPr>
              <w:t xml:space="preserve"> to have a chat about your requirements and to ask any questions.</w:t>
            </w:r>
          </w:p>
          <w:p w14:paraId="2BC3B94A" w14:textId="77777777" w:rsidR="00742D7F" w:rsidRPr="00AD26B6" w:rsidRDefault="00742D7F" w:rsidP="00742D7F">
            <w:pPr>
              <w:pStyle w:val="ListParagraph"/>
              <w:rPr>
                <w:rFonts w:ascii="Arial" w:hAnsi="Arial" w:cs="Arial"/>
                <w:sz w:val="20"/>
              </w:rPr>
            </w:pPr>
          </w:p>
          <w:p w14:paraId="0EA81AEF" w14:textId="1CACB97C" w:rsidR="00742D7F" w:rsidRPr="00AD26B6" w:rsidRDefault="00742D7F" w:rsidP="00051F9D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20"/>
              </w:rPr>
            </w:pPr>
            <w:r w:rsidRPr="00AD26B6">
              <w:rPr>
                <w:rFonts w:ascii="Arial" w:hAnsi="Arial" w:cs="Arial"/>
                <w:sz w:val="20"/>
              </w:rPr>
              <w:t>If you require any of the soft services e.g. settling in assistance, arrival services etc, it is recommended you contact suppliers to get a full description of the services they can provide.</w:t>
            </w:r>
            <w:r w:rsidR="009E53F4" w:rsidRPr="00AD26B6">
              <w:rPr>
                <w:rFonts w:ascii="Arial" w:hAnsi="Arial" w:cs="Arial"/>
                <w:sz w:val="20"/>
              </w:rPr>
              <w:t xml:space="preserve"> </w:t>
            </w:r>
            <w:r w:rsidR="00051F9D" w:rsidRPr="00AD26B6">
              <w:rPr>
                <w:rFonts w:ascii="Arial" w:hAnsi="Arial" w:cs="Arial"/>
                <w:sz w:val="20"/>
              </w:rPr>
              <w:t xml:space="preserve">We have included a </w:t>
            </w:r>
            <w:r w:rsidR="00051F9D" w:rsidRPr="007E752C">
              <w:rPr>
                <w:rFonts w:ascii="Arial" w:hAnsi="Arial" w:cs="Arial"/>
                <w:sz w:val="20"/>
              </w:rPr>
              <w:t>checklist</w:t>
            </w:r>
            <w:r w:rsidR="00051F9D" w:rsidRPr="00AD26B6">
              <w:rPr>
                <w:rFonts w:ascii="Arial" w:hAnsi="Arial" w:cs="Arial"/>
                <w:sz w:val="20"/>
              </w:rPr>
              <w:t xml:space="preserve"> </w:t>
            </w:r>
            <w:r w:rsidR="009E53F4" w:rsidRPr="00AD26B6">
              <w:rPr>
                <w:rFonts w:ascii="Arial" w:hAnsi="Arial" w:cs="Arial"/>
                <w:sz w:val="20"/>
              </w:rPr>
              <w:t>to help ensure that you don’t forget any detail of your move</w:t>
            </w:r>
            <w:r w:rsidR="0026663D">
              <w:rPr>
                <w:rFonts w:ascii="Arial" w:hAnsi="Arial" w:cs="Arial"/>
                <w:sz w:val="20"/>
              </w:rPr>
              <w:t>.</w:t>
            </w:r>
          </w:p>
        </w:tc>
      </w:tr>
      <w:tr w:rsidR="00AD5D59" w:rsidRPr="00AD26B6" w14:paraId="3613D766" w14:textId="77777777" w:rsidTr="00AD5D59">
        <w:tc>
          <w:tcPr>
            <w:tcW w:w="9242" w:type="dxa"/>
            <w:gridSpan w:val="2"/>
          </w:tcPr>
          <w:p w14:paraId="361F2FE0" w14:textId="77777777" w:rsidR="00AD5D59" w:rsidRPr="00AD26B6" w:rsidRDefault="00AD5D59" w:rsidP="00742D7F">
            <w:pPr>
              <w:ind w:left="284" w:hanging="284"/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</w:p>
          <w:p w14:paraId="657C6303" w14:textId="5F5E2A9D" w:rsidR="00AD5D59" w:rsidRPr="00424AA7" w:rsidRDefault="00AD5D59" w:rsidP="00742D7F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20"/>
              </w:rPr>
            </w:pPr>
            <w:r w:rsidRPr="00424AA7">
              <w:rPr>
                <w:rFonts w:ascii="Arial" w:hAnsi="Arial" w:cs="Arial"/>
                <w:sz w:val="20"/>
              </w:rPr>
              <w:t>Once you are</w:t>
            </w:r>
            <w:r w:rsidR="006166F6" w:rsidRPr="00424AA7">
              <w:rPr>
                <w:rFonts w:ascii="Arial" w:hAnsi="Arial" w:cs="Arial"/>
                <w:sz w:val="20"/>
              </w:rPr>
              <w:t xml:space="preserve"> happy with your supplier choice</w:t>
            </w:r>
            <w:r w:rsidR="00424AA7" w:rsidRPr="00424AA7">
              <w:rPr>
                <w:rFonts w:ascii="Arial" w:hAnsi="Arial" w:cs="Arial"/>
                <w:sz w:val="20"/>
              </w:rPr>
              <w:t>,</w:t>
            </w:r>
            <w:r w:rsidR="003C113B" w:rsidRPr="00424AA7">
              <w:rPr>
                <w:rFonts w:ascii="Arial" w:hAnsi="Arial" w:cs="Arial"/>
                <w:sz w:val="20"/>
              </w:rPr>
              <w:t xml:space="preserve"> follow the process outlined</w:t>
            </w:r>
            <w:r w:rsidR="00424AA7">
              <w:rPr>
                <w:rFonts w:ascii="Arial" w:hAnsi="Arial" w:cs="Arial"/>
                <w:sz w:val="20"/>
              </w:rPr>
              <w:t xml:space="preserve"> at point (a) and</w:t>
            </w:r>
            <w:r w:rsidR="003C113B" w:rsidRPr="00424AA7">
              <w:rPr>
                <w:rFonts w:ascii="Arial" w:hAnsi="Arial" w:cs="Arial"/>
                <w:sz w:val="20"/>
              </w:rPr>
              <w:t xml:space="preserve"> in the </w:t>
            </w:r>
            <w:hyperlink r:id="rId20" w:history="1">
              <w:r w:rsidR="003C113B" w:rsidRPr="00424AA7">
                <w:rPr>
                  <w:rStyle w:val="Hyperlink"/>
                  <w:rFonts w:ascii="Arial" w:hAnsi="Arial" w:cs="Arial"/>
                  <w:sz w:val="20"/>
                </w:rPr>
                <w:t>Finance Relocation Expenses Guide</w:t>
              </w:r>
            </w:hyperlink>
            <w:r w:rsidR="00424AA7" w:rsidRPr="00424AA7">
              <w:rPr>
                <w:rFonts w:ascii="Arial" w:hAnsi="Arial" w:cs="Arial"/>
                <w:sz w:val="20"/>
              </w:rPr>
              <w:t>.</w:t>
            </w:r>
            <w:r w:rsidR="003C113B" w:rsidRPr="00424AA7">
              <w:rPr>
                <w:rFonts w:ascii="Arial" w:hAnsi="Arial" w:cs="Arial"/>
                <w:sz w:val="20"/>
              </w:rPr>
              <w:t xml:space="preserve"> </w:t>
            </w:r>
          </w:p>
          <w:p w14:paraId="6FEF6498" w14:textId="77777777" w:rsidR="00742D7F" w:rsidRPr="00AD26B6" w:rsidRDefault="00742D7F" w:rsidP="00742D7F">
            <w:pPr>
              <w:pStyle w:val="ListParagraph"/>
              <w:ind w:left="284" w:hanging="284"/>
              <w:jc w:val="both"/>
              <w:rPr>
                <w:rFonts w:ascii="Arial" w:hAnsi="Arial" w:cs="Arial"/>
                <w:sz w:val="20"/>
              </w:rPr>
            </w:pPr>
          </w:p>
          <w:p w14:paraId="4DF31ABF" w14:textId="77777777" w:rsidR="00742D7F" w:rsidRPr="00AD26B6" w:rsidRDefault="00742D7F" w:rsidP="00742D7F">
            <w:pPr>
              <w:pStyle w:val="ListParagraph"/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20"/>
              </w:rPr>
            </w:pPr>
            <w:r w:rsidRPr="00AD26B6">
              <w:rPr>
                <w:rFonts w:ascii="Arial" w:hAnsi="Arial" w:cs="Arial"/>
                <w:sz w:val="20"/>
              </w:rPr>
              <w:t xml:space="preserve">If you require services that </w:t>
            </w:r>
            <w:r w:rsidR="00051F9D" w:rsidRPr="00AD26B6">
              <w:rPr>
                <w:rFonts w:ascii="Arial" w:hAnsi="Arial" w:cs="Arial"/>
                <w:sz w:val="20"/>
              </w:rPr>
              <w:t>are excluded from your allowance</w:t>
            </w:r>
            <w:r w:rsidRPr="00AD26B6">
              <w:rPr>
                <w:rFonts w:ascii="Arial" w:hAnsi="Arial" w:cs="Arial"/>
                <w:sz w:val="20"/>
              </w:rPr>
              <w:t>, you are able to purchase these yourself</w:t>
            </w:r>
            <w:r w:rsidR="00A07040">
              <w:rPr>
                <w:rFonts w:ascii="Arial" w:hAnsi="Arial" w:cs="Arial"/>
                <w:sz w:val="20"/>
              </w:rPr>
              <w:t xml:space="preserve"> from your Relocation Supplement or private funds</w:t>
            </w:r>
            <w:r w:rsidRPr="00AD26B6">
              <w:rPr>
                <w:rFonts w:ascii="Arial" w:hAnsi="Arial" w:cs="Arial"/>
                <w:sz w:val="20"/>
              </w:rPr>
              <w:t xml:space="preserve">. Payment will have to be made to the supplier upfront. </w:t>
            </w:r>
          </w:p>
          <w:p w14:paraId="0255F139" w14:textId="77777777" w:rsidR="00CA797C" w:rsidRPr="00AD26B6" w:rsidRDefault="00CA797C" w:rsidP="00742D7F">
            <w:pPr>
              <w:ind w:left="284" w:hanging="284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B431C" w14:paraId="4BA9364A" w14:textId="77777777" w:rsidTr="004E1A25">
        <w:tc>
          <w:tcPr>
            <w:tcW w:w="4621" w:type="dxa"/>
          </w:tcPr>
          <w:p w14:paraId="323B26AB" w14:textId="77777777" w:rsidR="00AB431C" w:rsidRDefault="00AB431C" w:rsidP="004E1A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Relocation Expenses Allowance – Permitted Services</w:t>
            </w:r>
          </w:p>
          <w:p w14:paraId="22474AF6" w14:textId="77777777" w:rsidR="00AB431C" w:rsidRDefault="00AB431C" w:rsidP="004B33D8">
            <w:pPr>
              <w:jc w:val="both"/>
              <w:rPr>
                <w:rFonts w:ascii="Arial" w:hAnsi="Arial" w:cs="Arial"/>
                <w:sz w:val="20"/>
              </w:rPr>
            </w:pPr>
          </w:p>
          <w:p w14:paraId="241374DE" w14:textId="77777777" w:rsidR="003A45F3" w:rsidRPr="003A45F3" w:rsidRDefault="003A45F3" w:rsidP="00270D96">
            <w:pPr>
              <w:numPr>
                <w:ilvl w:val="0"/>
                <w:numId w:val="10"/>
              </w:numPr>
              <w:ind w:left="714" w:hanging="35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Legal expenses in connection with buying or selling property (excludes stamp duty and estate agents commission)</w:t>
            </w:r>
          </w:p>
          <w:p w14:paraId="197736A7" w14:textId="77777777" w:rsidR="003A45F3" w:rsidRPr="003A45F3" w:rsidRDefault="003A45F3" w:rsidP="003A45F3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Transportation of personal effects of the individual and family members</w:t>
            </w:r>
          </w:p>
          <w:p w14:paraId="0D785B85" w14:textId="77777777" w:rsidR="003A45F3" w:rsidRPr="003A45F3" w:rsidRDefault="003A45F3" w:rsidP="003A45F3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Travel expenses for the staff member and family (partner and children)</w:t>
            </w:r>
          </w:p>
          <w:p w14:paraId="5D5BAF4B" w14:textId="77777777" w:rsidR="003A45F3" w:rsidRPr="003A45F3" w:rsidRDefault="003A45F3" w:rsidP="003A45F3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Temporary storage costs for 6 months</w:t>
            </w:r>
          </w:p>
          <w:p w14:paraId="2160B002" w14:textId="77777777" w:rsidR="003A45F3" w:rsidRPr="003A45F3" w:rsidRDefault="003A45F3" w:rsidP="003A45F3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Packaging, packing costs and transit insurance</w:t>
            </w:r>
          </w:p>
          <w:p w14:paraId="154CF573" w14:textId="77777777" w:rsidR="003A45F3" w:rsidRPr="003A45F3" w:rsidRDefault="003A45F3" w:rsidP="003A45F3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Excess baggage claims</w:t>
            </w:r>
          </w:p>
          <w:p w14:paraId="44710382" w14:textId="77777777" w:rsidR="00FC0C4F" w:rsidRPr="003A45F3" w:rsidRDefault="003A45F3" w:rsidP="003A45F3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A45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 hire, fuel, and toll charges</w:t>
            </w:r>
          </w:p>
          <w:p w14:paraId="3EA07E0C" w14:textId="77777777" w:rsidR="00AB431C" w:rsidRPr="00FC0C4F" w:rsidRDefault="003A45F3" w:rsidP="00FC0C4F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FC0C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Transporting Pets</w:t>
            </w:r>
          </w:p>
        </w:tc>
        <w:tc>
          <w:tcPr>
            <w:tcW w:w="4621" w:type="dxa"/>
          </w:tcPr>
          <w:p w14:paraId="2E107AD0" w14:textId="77777777" w:rsidR="003A45F3" w:rsidRDefault="003A45F3" w:rsidP="004E1A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Relocation Supplement – Additional Services</w:t>
            </w:r>
          </w:p>
          <w:p w14:paraId="494438FB" w14:textId="77777777" w:rsidR="003A45F3" w:rsidRDefault="003A45F3" w:rsidP="003A45F3">
            <w:pPr>
              <w:jc w:val="both"/>
              <w:rPr>
                <w:rFonts w:ascii="Arial" w:hAnsi="Arial" w:cs="Arial"/>
                <w:sz w:val="20"/>
              </w:rPr>
            </w:pPr>
          </w:p>
          <w:p w14:paraId="594AD098" w14:textId="77777777" w:rsidR="003A45F3" w:rsidRDefault="003A45F3" w:rsidP="004B33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26314823" w14:textId="77777777" w:rsidR="00AB431C" w:rsidRPr="00AD5D59" w:rsidRDefault="003A45F3" w:rsidP="004B33D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The Relocation Supplement is intended as a contribution towards all relocation costs not specifically included in the Relocation Allowance.</w:t>
            </w:r>
          </w:p>
        </w:tc>
      </w:tr>
      <w:tr w:rsidR="004B33D8" w14:paraId="1EA46759" w14:textId="77777777" w:rsidTr="00742D7F">
        <w:trPr>
          <w:trHeight w:val="458"/>
        </w:trPr>
        <w:tc>
          <w:tcPr>
            <w:tcW w:w="9242" w:type="dxa"/>
            <w:gridSpan w:val="2"/>
            <w:shd w:val="clear" w:color="auto" w:fill="403152" w:themeFill="accent4" w:themeFillShade="80"/>
            <w:vAlign w:val="center"/>
          </w:tcPr>
          <w:p w14:paraId="35948AFA" w14:textId="77777777" w:rsidR="004B33D8" w:rsidRPr="004B33D8" w:rsidRDefault="004B33D8" w:rsidP="004B33D8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742D7F">
              <w:rPr>
                <w:rFonts w:ascii="Arial" w:hAnsi="Arial" w:cs="Arial"/>
                <w:b/>
                <w:u w:val="single"/>
              </w:rPr>
              <w:t>Key Contacts</w:t>
            </w:r>
          </w:p>
        </w:tc>
      </w:tr>
      <w:tr w:rsidR="004B33D8" w14:paraId="6778E0F3" w14:textId="77777777" w:rsidTr="00CA797C">
        <w:trPr>
          <w:trHeight w:val="668"/>
        </w:trPr>
        <w:tc>
          <w:tcPr>
            <w:tcW w:w="4621" w:type="dxa"/>
            <w:shd w:val="clear" w:color="auto" w:fill="auto"/>
            <w:vAlign w:val="center"/>
          </w:tcPr>
          <w:p w14:paraId="241D8299" w14:textId="77777777" w:rsidR="004B33D8" w:rsidRPr="009D26B7" w:rsidRDefault="004B33D8" w:rsidP="009D26B7">
            <w:pPr>
              <w:rPr>
                <w:rFonts w:ascii="Arial" w:hAnsi="Arial" w:cs="Arial"/>
                <w:b/>
                <w:sz w:val="20"/>
              </w:rPr>
            </w:pPr>
            <w:r w:rsidRPr="009D26B7">
              <w:rPr>
                <w:rFonts w:ascii="Arial" w:hAnsi="Arial" w:cs="Arial"/>
                <w:b/>
                <w:sz w:val="18"/>
              </w:rPr>
              <w:t>Departmental</w:t>
            </w:r>
            <w:r w:rsidRPr="009D26B7">
              <w:rPr>
                <w:rFonts w:ascii="Arial" w:hAnsi="Arial" w:cs="Arial"/>
                <w:b/>
                <w:sz w:val="20"/>
              </w:rPr>
              <w:t xml:space="preserve"> Contact</w:t>
            </w:r>
          </w:p>
        </w:tc>
        <w:tc>
          <w:tcPr>
            <w:tcW w:w="4621" w:type="dxa"/>
            <w:shd w:val="clear" w:color="auto" w:fill="auto"/>
            <w:vAlign w:val="center"/>
          </w:tcPr>
          <w:p w14:paraId="1B27E314" w14:textId="77777777" w:rsidR="004B33D8" w:rsidRPr="009D26B7" w:rsidRDefault="009D26B7" w:rsidP="00CA797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Line Manager</w:t>
            </w:r>
          </w:p>
          <w:p w14:paraId="643F3248" w14:textId="77777777" w:rsidR="004B33D8" w:rsidRPr="009D26B7" w:rsidRDefault="009D26B7" w:rsidP="00CA797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Departmental</w:t>
            </w:r>
            <w:r w:rsidR="00A07040">
              <w:rPr>
                <w:rFonts w:ascii="Arial" w:hAnsi="Arial" w:cs="Arial"/>
                <w:b/>
                <w:sz w:val="20"/>
              </w:rPr>
              <w:t xml:space="preserve"> Administrator</w:t>
            </w:r>
          </w:p>
        </w:tc>
      </w:tr>
      <w:tr w:rsidR="004B33D8" w14:paraId="692AED4F" w14:textId="77777777" w:rsidTr="00CA797C">
        <w:trPr>
          <w:trHeight w:val="706"/>
        </w:trPr>
        <w:tc>
          <w:tcPr>
            <w:tcW w:w="4621" w:type="dxa"/>
            <w:shd w:val="clear" w:color="auto" w:fill="auto"/>
            <w:vAlign w:val="center"/>
          </w:tcPr>
          <w:p w14:paraId="235AC097" w14:textId="11986D3C" w:rsidR="004B33D8" w:rsidRPr="009D26B7" w:rsidRDefault="009D26B7" w:rsidP="003038B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Finance Contact</w:t>
            </w:r>
            <w:r w:rsidR="00AD26B6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4621" w:type="dxa"/>
            <w:shd w:val="clear" w:color="auto" w:fill="auto"/>
            <w:vAlign w:val="center"/>
          </w:tcPr>
          <w:p w14:paraId="3C10BCE2" w14:textId="7F8F6FA2" w:rsidR="004B33D8" w:rsidRPr="009D26B7" w:rsidRDefault="00AD26B6" w:rsidP="00AD26B6">
            <w:pPr>
              <w:rPr>
                <w:rFonts w:ascii="Arial" w:hAnsi="Arial" w:cs="Arial"/>
                <w:b/>
                <w:sz w:val="20"/>
              </w:rPr>
            </w:pPr>
            <w:r w:rsidRPr="00AD26B6">
              <w:rPr>
                <w:rFonts w:ascii="Arial" w:hAnsi="Arial" w:cs="Arial"/>
                <w:b/>
                <w:sz w:val="20"/>
                <w:szCs w:val="20"/>
              </w:rPr>
              <w:t xml:space="preserve">Email: </w:t>
            </w:r>
            <w:hyperlink r:id="rId21" w:history="1">
              <w:r w:rsidR="005A6741" w:rsidRPr="005A6741">
                <w:rPr>
                  <w:rStyle w:val="Hyperlink"/>
                  <w:rFonts w:ascii="Arial" w:hAnsi="Arial" w:cs="Arial"/>
                  <w:sz w:val="20"/>
                  <w:szCs w:val="20"/>
                </w:rPr>
                <w:t>mafinanceoperations@ucl.ac.uk</w:t>
              </w:r>
            </w:hyperlink>
            <w:r w:rsidRPr="005A67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B33D8" w14:paraId="26B4FA13" w14:textId="77777777" w:rsidTr="00CA797C">
        <w:trPr>
          <w:trHeight w:val="658"/>
        </w:trPr>
        <w:tc>
          <w:tcPr>
            <w:tcW w:w="4621" w:type="dxa"/>
            <w:shd w:val="clear" w:color="auto" w:fill="auto"/>
            <w:vAlign w:val="center"/>
          </w:tcPr>
          <w:p w14:paraId="2EDEED48" w14:textId="77777777" w:rsidR="004B33D8" w:rsidRPr="009D26B7" w:rsidRDefault="004B33D8" w:rsidP="00AD26B6">
            <w:pPr>
              <w:rPr>
                <w:rFonts w:ascii="Arial" w:hAnsi="Arial" w:cs="Arial"/>
                <w:b/>
                <w:sz w:val="20"/>
              </w:rPr>
            </w:pPr>
            <w:r w:rsidRPr="009D26B7">
              <w:rPr>
                <w:rFonts w:ascii="Arial" w:hAnsi="Arial" w:cs="Arial"/>
                <w:b/>
                <w:sz w:val="20"/>
              </w:rPr>
              <w:t>HR Contact</w:t>
            </w:r>
          </w:p>
        </w:tc>
        <w:tc>
          <w:tcPr>
            <w:tcW w:w="4621" w:type="dxa"/>
            <w:shd w:val="clear" w:color="auto" w:fill="auto"/>
            <w:vAlign w:val="center"/>
          </w:tcPr>
          <w:p w14:paraId="3941A71E" w14:textId="79C9F7D8" w:rsidR="004B33D8" w:rsidRPr="009D26B7" w:rsidRDefault="00000000" w:rsidP="00CA797C">
            <w:pPr>
              <w:rPr>
                <w:rFonts w:ascii="Arial" w:hAnsi="Arial" w:cs="Arial"/>
                <w:b/>
                <w:sz w:val="20"/>
              </w:rPr>
            </w:pPr>
            <w:hyperlink r:id="rId22" w:history="1">
              <w:r w:rsidR="007E752C">
                <w:rPr>
                  <w:rStyle w:val="Hyperlink"/>
                  <w:rFonts w:ascii="Arial" w:hAnsi="Arial" w:cs="Arial"/>
                  <w:b/>
                  <w:sz w:val="20"/>
                </w:rPr>
                <w:t>HR Business Partnering</w:t>
              </w:r>
            </w:hyperlink>
          </w:p>
        </w:tc>
      </w:tr>
    </w:tbl>
    <w:p w14:paraId="07EA6C05" w14:textId="77777777" w:rsidR="00EB0CAF" w:rsidRDefault="00EB0CAF">
      <w:pPr>
        <w:rPr>
          <w:rFonts w:ascii="Arial" w:hAnsi="Arial" w:cs="Arial"/>
          <w:b/>
          <w:sz w:val="28"/>
        </w:rPr>
      </w:pPr>
    </w:p>
    <w:p w14:paraId="13398B82" w14:textId="77777777" w:rsidR="001E0A40" w:rsidRDefault="001E0A40">
      <w:pPr>
        <w:rPr>
          <w:rFonts w:ascii="Arial" w:hAnsi="Arial" w:cs="Arial"/>
          <w:sz w:val="16"/>
          <w:szCs w:val="16"/>
        </w:rPr>
      </w:pPr>
    </w:p>
    <w:p w14:paraId="21A9B0A0" w14:textId="77777777" w:rsidR="001E0A40" w:rsidRDefault="001E0A40">
      <w:pPr>
        <w:rPr>
          <w:rFonts w:ascii="Arial" w:hAnsi="Arial" w:cs="Arial"/>
          <w:sz w:val="16"/>
          <w:szCs w:val="16"/>
        </w:rPr>
      </w:pPr>
    </w:p>
    <w:p w14:paraId="473EA95F" w14:textId="05E9BF06" w:rsidR="00424AA7" w:rsidRPr="001E0A40" w:rsidRDefault="001E0A4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Updated </w:t>
      </w:r>
      <w:r w:rsidRPr="001E0A40">
        <w:rPr>
          <w:rFonts w:ascii="Arial" w:hAnsi="Arial" w:cs="Arial"/>
          <w:sz w:val="16"/>
          <w:szCs w:val="16"/>
        </w:rPr>
        <w:t>August 2016</w:t>
      </w:r>
    </w:p>
    <w:sectPr w:rsidR="00424AA7" w:rsidRPr="001E0A40" w:rsidSect="006166F6">
      <w:headerReference w:type="default" r:id="rId23"/>
      <w:headerReference w:type="first" r:id="rId24"/>
      <w:pgSz w:w="11906" w:h="16838"/>
      <w:pgMar w:top="1207" w:right="1440" w:bottom="709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850A7" w14:textId="77777777" w:rsidR="00F37B6D" w:rsidRDefault="00F37B6D" w:rsidP="00EB0CAF">
      <w:pPr>
        <w:spacing w:after="0" w:line="240" w:lineRule="auto"/>
      </w:pPr>
      <w:r>
        <w:separator/>
      </w:r>
    </w:p>
  </w:endnote>
  <w:endnote w:type="continuationSeparator" w:id="0">
    <w:p w14:paraId="35CB490E" w14:textId="77777777" w:rsidR="00F37B6D" w:rsidRDefault="00F37B6D" w:rsidP="00EB0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58FB5" w14:textId="77777777" w:rsidR="00F37B6D" w:rsidRDefault="00F37B6D" w:rsidP="00EB0CAF">
      <w:pPr>
        <w:spacing w:after="0" w:line="240" w:lineRule="auto"/>
      </w:pPr>
      <w:r>
        <w:separator/>
      </w:r>
    </w:p>
  </w:footnote>
  <w:footnote w:type="continuationSeparator" w:id="0">
    <w:p w14:paraId="1A01B23C" w14:textId="77777777" w:rsidR="00F37B6D" w:rsidRDefault="00F37B6D" w:rsidP="00EB0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A40FA" w14:textId="77777777" w:rsidR="004E1A25" w:rsidRDefault="004E1A25" w:rsidP="00EB0CA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21AD4" w14:textId="77777777" w:rsidR="004E1A25" w:rsidRDefault="004E1A25" w:rsidP="00CA797C">
    <w:pPr>
      <w:pStyle w:val="Header"/>
      <w:jc w:val="right"/>
    </w:pPr>
    <w:r>
      <w:rPr>
        <w:noProof/>
      </w:rPr>
      <w:drawing>
        <wp:inline distT="0" distB="0" distL="0" distR="0" wp14:anchorId="4973BFEC" wp14:editId="7896ACC7">
          <wp:extent cx="2329732" cy="758505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940" cy="758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B45A7"/>
    <w:multiLevelType w:val="hybridMultilevel"/>
    <w:tmpl w:val="CC927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F3F8A"/>
    <w:multiLevelType w:val="hybridMultilevel"/>
    <w:tmpl w:val="96049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A0691"/>
    <w:multiLevelType w:val="hybridMultilevel"/>
    <w:tmpl w:val="51EE6A70"/>
    <w:lvl w:ilvl="0" w:tplc="D8722C0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397B9C"/>
    <w:multiLevelType w:val="hybridMultilevel"/>
    <w:tmpl w:val="CF80F7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D0552"/>
    <w:multiLevelType w:val="hybridMultilevel"/>
    <w:tmpl w:val="A1968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C39FA"/>
    <w:multiLevelType w:val="hybridMultilevel"/>
    <w:tmpl w:val="E9CA9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B0B86"/>
    <w:multiLevelType w:val="multilevel"/>
    <w:tmpl w:val="8D6E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0137C1"/>
    <w:multiLevelType w:val="hybridMultilevel"/>
    <w:tmpl w:val="30A6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033C8"/>
    <w:multiLevelType w:val="multilevel"/>
    <w:tmpl w:val="73AC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AE60AE"/>
    <w:multiLevelType w:val="hybridMultilevel"/>
    <w:tmpl w:val="CA662F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26439"/>
    <w:multiLevelType w:val="hybridMultilevel"/>
    <w:tmpl w:val="F57E9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261515">
    <w:abstractNumId w:val="4"/>
  </w:num>
  <w:num w:numId="2" w16cid:durableId="2050564353">
    <w:abstractNumId w:val="0"/>
  </w:num>
  <w:num w:numId="3" w16cid:durableId="1575821383">
    <w:abstractNumId w:val="3"/>
  </w:num>
  <w:num w:numId="4" w16cid:durableId="1225992558">
    <w:abstractNumId w:val="1"/>
  </w:num>
  <w:num w:numId="5" w16cid:durableId="1955938447">
    <w:abstractNumId w:val="2"/>
  </w:num>
  <w:num w:numId="6" w16cid:durableId="1758359252">
    <w:abstractNumId w:val="5"/>
  </w:num>
  <w:num w:numId="7" w16cid:durableId="40635094">
    <w:abstractNumId w:val="7"/>
  </w:num>
  <w:num w:numId="8" w16cid:durableId="32311690">
    <w:abstractNumId w:val="10"/>
  </w:num>
  <w:num w:numId="9" w16cid:durableId="273902808">
    <w:abstractNumId w:val="9"/>
  </w:num>
  <w:num w:numId="10" w16cid:durableId="379675144">
    <w:abstractNumId w:val="8"/>
  </w:num>
  <w:num w:numId="11" w16cid:durableId="1090547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545"/>
    <w:rsid w:val="00051F9D"/>
    <w:rsid w:val="000A143B"/>
    <w:rsid w:val="000F3BA7"/>
    <w:rsid w:val="001C57D6"/>
    <w:rsid w:val="001D5EA3"/>
    <w:rsid w:val="001D6D76"/>
    <w:rsid w:val="001E0A40"/>
    <w:rsid w:val="001F29F8"/>
    <w:rsid w:val="002102DA"/>
    <w:rsid w:val="00231010"/>
    <w:rsid w:val="00234CEA"/>
    <w:rsid w:val="002619E3"/>
    <w:rsid w:val="0026663D"/>
    <w:rsid w:val="00270D96"/>
    <w:rsid w:val="002A50F4"/>
    <w:rsid w:val="002D6779"/>
    <w:rsid w:val="003038BA"/>
    <w:rsid w:val="00341145"/>
    <w:rsid w:val="003A45F3"/>
    <w:rsid w:val="003C113B"/>
    <w:rsid w:val="003F5F72"/>
    <w:rsid w:val="00413D24"/>
    <w:rsid w:val="00415B02"/>
    <w:rsid w:val="00424AA7"/>
    <w:rsid w:val="00456C5C"/>
    <w:rsid w:val="004647AD"/>
    <w:rsid w:val="004B33D8"/>
    <w:rsid w:val="004B6A10"/>
    <w:rsid w:val="004E1A25"/>
    <w:rsid w:val="00517803"/>
    <w:rsid w:val="00532429"/>
    <w:rsid w:val="00570818"/>
    <w:rsid w:val="005A6741"/>
    <w:rsid w:val="005B785C"/>
    <w:rsid w:val="005F10DF"/>
    <w:rsid w:val="005F6545"/>
    <w:rsid w:val="00614716"/>
    <w:rsid w:val="006166F6"/>
    <w:rsid w:val="006B455E"/>
    <w:rsid w:val="006C4B36"/>
    <w:rsid w:val="0071168B"/>
    <w:rsid w:val="0073597F"/>
    <w:rsid w:val="00742D7F"/>
    <w:rsid w:val="00751CF3"/>
    <w:rsid w:val="007940EF"/>
    <w:rsid w:val="007A0174"/>
    <w:rsid w:val="007A48D3"/>
    <w:rsid w:val="007D6DF5"/>
    <w:rsid w:val="007E08FA"/>
    <w:rsid w:val="007E752C"/>
    <w:rsid w:val="0080427D"/>
    <w:rsid w:val="00850C2E"/>
    <w:rsid w:val="00941DD1"/>
    <w:rsid w:val="00952488"/>
    <w:rsid w:val="00960E54"/>
    <w:rsid w:val="009D26B7"/>
    <w:rsid w:val="009E53F4"/>
    <w:rsid w:val="009E6FB0"/>
    <w:rsid w:val="009F52CC"/>
    <w:rsid w:val="009F7636"/>
    <w:rsid w:val="00A07040"/>
    <w:rsid w:val="00A10880"/>
    <w:rsid w:val="00AB431C"/>
    <w:rsid w:val="00AC7D9A"/>
    <w:rsid w:val="00AD1DF9"/>
    <w:rsid w:val="00AD26B6"/>
    <w:rsid w:val="00AD5D59"/>
    <w:rsid w:val="00AF17EE"/>
    <w:rsid w:val="00B236B6"/>
    <w:rsid w:val="00B67B46"/>
    <w:rsid w:val="00C06BA3"/>
    <w:rsid w:val="00C64C36"/>
    <w:rsid w:val="00C9047D"/>
    <w:rsid w:val="00CA797C"/>
    <w:rsid w:val="00CF191D"/>
    <w:rsid w:val="00D13676"/>
    <w:rsid w:val="00D66F34"/>
    <w:rsid w:val="00DB423B"/>
    <w:rsid w:val="00E70142"/>
    <w:rsid w:val="00EB0CAF"/>
    <w:rsid w:val="00EC1509"/>
    <w:rsid w:val="00ED5DB7"/>
    <w:rsid w:val="00EF0BA9"/>
    <w:rsid w:val="00F0544F"/>
    <w:rsid w:val="00F37B6D"/>
    <w:rsid w:val="00F81D7F"/>
    <w:rsid w:val="00F87DE1"/>
    <w:rsid w:val="00FC0C4F"/>
    <w:rsid w:val="00FC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5F4CD"/>
  <w15:docId w15:val="{4B299CEC-799F-45BB-835D-E3DACF70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65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101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1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0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0D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1"/>
    <w:rsid w:val="007D6DF5"/>
    <w:pPr>
      <w:spacing w:after="24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BodyTextChar">
    <w:name w:val="Body Text Char"/>
    <w:basedOn w:val="DefaultParagraphFont"/>
    <w:uiPriority w:val="99"/>
    <w:semiHidden/>
    <w:rsid w:val="007D6DF5"/>
  </w:style>
  <w:style w:type="character" w:customStyle="1" w:styleId="BodyTextChar1">
    <w:name w:val="Body Text Char1"/>
    <w:link w:val="BodyText"/>
    <w:rsid w:val="007D6DF5"/>
    <w:rPr>
      <w:rFonts w:ascii="Times New Roman" w:eastAsia="Times New Roman" w:hAnsi="Times New Roman" w:cs="Times New Roman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B0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CAF"/>
  </w:style>
  <w:style w:type="paragraph" w:styleId="Footer">
    <w:name w:val="footer"/>
    <w:basedOn w:val="Normal"/>
    <w:link w:val="FooterChar"/>
    <w:unhideWhenUsed/>
    <w:rsid w:val="00EB0C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CAF"/>
  </w:style>
  <w:style w:type="character" w:styleId="FollowedHyperlink">
    <w:name w:val="FollowedHyperlink"/>
    <w:basedOn w:val="DefaultParagraphFont"/>
    <w:uiPriority w:val="99"/>
    <w:semiHidden/>
    <w:unhideWhenUsed/>
    <w:rsid w:val="007A017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A0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E7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5888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l.ac.uk/human-resources/relocation-scheme" TargetMode="External"/><Relationship Id="rId13" Type="http://schemas.openxmlformats.org/officeDocument/2006/relationships/hyperlink" Target="mailto:UCL@robinsonsrelo.com" TargetMode="External"/><Relationship Id="rId18" Type="http://schemas.openxmlformats.org/officeDocument/2006/relationships/hyperlink" Target="https://www.ucl.ac.uk/human-resources/sites/human-resources/files/connells-lexicon-relocation_0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mafinanceoperations@ucl.ac.u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ucl.ac.uk/human-resources/sites/human-resources/files/relocation-checklist.docx" TargetMode="External"/><Relationship Id="rId17" Type="http://schemas.openxmlformats.org/officeDocument/2006/relationships/hyperlink" Target="https://www.ucl.ac.uk/human-resources/sites/human-resources/files/relocation-supplement-form.doc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ucl.ac.uk/human-resources/sites/human-resources/files/expense-flow-chart.docx" TargetMode="External"/><Relationship Id="rId20" Type="http://schemas.openxmlformats.org/officeDocument/2006/relationships/hyperlink" Target="https://www.ucl.ac.uk/finance/expenses-insurance/relocation-expenses-gui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cl.ac.uk/human-resources/working-ucl/hr-services/immigration-1st-january-2021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lexiconucl@sterlinglexicon.com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ucl.ac.uk/human-resources/working-ucl/hr-services" TargetMode="External"/><Relationship Id="rId19" Type="http://schemas.openxmlformats.org/officeDocument/2006/relationships/hyperlink" Target="https://www.ucl.ac.uk/human-resources/sites/human-resources/files/pickfords_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l.ac.uk/human-resources/working-ucl/hr-services/immigration-1st-january-2021" TargetMode="External"/><Relationship Id="rId14" Type="http://schemas.openxmlformats.org/officeDocument/2006/relationships/hyperlink" Target="mailto:ucl@pickfords.com" TargetMode="External"/><Relationship Id="rId22" Type="http://schemas.openxmlformats.org/officeDocument/2006/relationships/hyperlink" Target="https://www.ucl.ac.uk/human-resources/about-hr/contacting-hr/people-hr/hr-business-partnering-contact-detail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9D5BB-BD09-4268-80AC-CBB876EA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uczikka</dc:creator>
  <cp:keywords/>
  <dc:description/>
  <cp:lastModifiedBy>Popova, Marija</cp:lastModifiedBy>
  <cp:revision>9</cp:revision>
  <cp:lastPrinted>2014-10-24T09:47:00Z</cp:lastPrinted>
  <dcterms:created xsi:type="dcterms:W3CDTF">2016-07-27T14:41:00Z</dcterms:created>
  <dcterms:modified xsi:type="dcterms:W3CDTF">2024-10-25T14:10:00Z</dcterms:modified>
</cp:coreProperties>
</file>