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74" w:type="dxa"/>
        <w:tblLayout w:type="fixed"/>
        <w:tblLook w:val="04A0" w:firstRow="1" w:lastRow="0" w:firstColumn="1" w:lastColumn="0" w:noHBand="0" w:noVBand="1"/>
      </w:tblPr>
      <w:tblGrid>
        <w:gridCol w:w="675"/>
        <w:gridCol w:w="1701"/>
        <w:gridCol w:w="4395"/>
        <w:gridCol w:w="1417"/>
        <w:gridCol w:w="1134"/>
        <w:gridCol w:w="4852"/>
      </w:tblGrid>
      <w:tr w:rsidR="00AD7D2B" w:rsidRPr="00AD7D2B" w:rsidTr="003D4ED2">
        <w:trPr>
          <w:trHeight w:val="558"/>
        </w:trPr>
        <w:tc>
          <w:tcPr>
            <w:tcW w:w="675" w:type="dxa"/>
            <w:tcBorders>
              <w:bottom w:val="single" w:sz="4" w:space="0" w:color="auto"/>
            </w:tcBorders>
          </w:tcPr>
          <w:p w:rsidR="00AD7D2B" w:rsidRPr="00AD7D2B" w:rsidRDefault="00AD7D2B" w:rsidP="002973FF">
            <w:pPr>
              <w:rPr>
                <w:rFonts w:ascii="Arial" w:hAnsi="Arial" w:cs="Arial"/>
                <w:b/>
                <w:sz w:val="20"/>
                <w:szCs w:val="20"/>
              </w:rPr>
            </w:pPr>
            <w:r w:rsidRPr="00AD7D2B">
              <w:rPr>
                <w:rFonts w:ascii="Arial" w:hAnsi="Arial" w:cs="Arial"/>
                <w:b/>
                <w:sz w:val="20"/>
                <w:szCs w:val="20"/>
              </w:rPr>
              <w:br w:type="column"/>
            </w:r>
          </w:p>
        </w:tc>
        <w:tc>
          <w:tcPr>
            <w:tcW w:w="1701" w:type="dxa"/>
            <w:tcBorders>
              <w:bottom w:val="single" w:sz="4" w:space="0" w:color="auto"/>
            </w:tcBorders>
          </w:tcPr>
          <w:p w:rsidR="00AD7D2B" w:rsidRPr="00AD7D2B" w:rsidRDefault="00AD7D2B" w:rsidP="002973FF">
            <w:pPr>
              <w:rPr>
                <w:rFonts w:ascii="Arial" w:hAnsi="Arial" w:cs="Arial"/>
                <w:b/>
                <w:sz w:val="20"/>
                <w:szCs w:val="20"/>
              </w:rPr>
            </w:pPr>
            <w:r w:rsidRPr="00AD7D2B">
              <w:rPr>
                <w:rFonts w:ascii="Arial" w:hAnsi="Arial" w:cs="Arial"/>
                <w:b/>
                <w:sz w:val="20"/>
                <w:szCs w:val="20"/>
              </w:rPr>
              <w:t>Objective</w:t>
            </w:r>
          </w:p>
        </w:tc>
        <w:tc>
          <w:tcPr>
            <w:tcW w:w="4395" w:type="dxa"/>
            <w:tcBorders>
              <w:bottom w:val="single" w:sz="4" w:space="0" w:color="auto"/>
            </w:tcBorders>
          </w:tcPr>
          <w:p w:rsidR="00AD7D2B" w:rsidRPr="00AD7D2B" w:rsidRDefault="00AD7D2B" w:rsidP="002973FF">
            <w:pPr>
              <w:rPr>
                <w:rFonts w:ascii="Arial" w:hAnsi="Arial" w:cs="Arial"/>
                <w:b/>
                <w:sz w:val="20"/>
                <w:szCs w:val="20"/>
              </w:rPr>
            </w:pPr>
            <w:r w:rsidRPr="00AD7D2B">
              <w:rPr>
                <w:rFonts w:ascii="Arial" w:hAnsi="Arial" w:cs="Arial"/>
                <w:b/>
                <w:sz w:val="20"/>
                <w:szCs w:val="20"/>
              </w:rPr>
              <w:t>Actions</w:t>
            </w:r>
          </w:p>
        </w:tc>
        <w:tc>
          <w:tcPr>
            <w:tcW w:w="1417" w:type="dxa"/>
            <w:tcBorders>
              <w:bottom w:val="single" w:sz="4" w:space="0" w:color="auto"/>
            </w:tcBorders>
          </w:tcPr>
          <w:p w:rsidR="00AD7D2B" w:rsidRPr="00AD7D2B" w:rsidRDefault="00AD7D2B" w:rsidP="002973FF">
            <w:pPr>
              <w:rPr>
                <w:rFonts w:ascii="Arial" w:hAnsi="Arial" w:cs="Arial"/>
                <w:b/>
                <w:sz w:val="20"/>
                <w:szCs w:val="20"/>
              </w:rPr>
            </w:pPr>
            <w:r w:rsidRPr="00AD7D2B">
              <w:rPr>
                <w:rFonts w:ascii="Arial" w:hAnsi="Arial" w:cs="Arial"/>
                <w:b/>
                <w:sz w:val="20"/>
                <w:szCs w:val="20"/>
              </w:rPr>
              <w:t>Timescales</w:t>
            </w:r>
          </w:p>
        </w:tc>
        <w:tc>
          <w:tcPr>
            <w:tcW w:w="1134" w:type="dxa"/>
            <w:tcBorders>
              <w:bottom w:val="single" w:sz="4" w:space="0" w:color="auto"/>
            </w:tcBorders>
          </w:tcPr>
          <w:p w:rsidR="00AD7D2B" w:rsidRPr="00AD7D2B" w:rsidRDefault="00AD7D2B" w:rsidP="002973FF">
            <w:pPr>
              <w:rPr>
                <w:rFonts w:ascii="Arial" w:hAnsi="Arial" w:cs="Arial"/>
                <w:b/>
                <w:sz w:val="20"/>
                <w:szCs w:val="20"/>
              </w:rPr>
            </w:pPr>
            <w:r w:rsidRPr="00AD7D2B">
              <w:rPr>
                <w:rFonts w:ascii="Arial" w:hAnsi="Arial" w:cs="Arial"/>
                <w:b/>
                <w:sz w:val="20"/>
                <w:szCs w:val="20"/>
              </w:rPr>
              <w:t xml:space="preserve">Responsibility </w:t>
            </w:r>
          </w:p>
        </w:tc>
        <w:tc>
          <w:tcPr>
            <w:tcW w:w="4852" w:type="dxa"/>
            <w:tcBorders>
              <w:bottom w:val="single" w:sz="4" w:space="0" w:color="auto"/>
            </w:tcBorders>
          </w:tcPr>
          <w:p w:rsidR="00AD7D2B" w:rsidRPr="00AD7D2B" w:rsidRDefault="00AD7D2B" w:rsidP="002973FF">
            <w:pPr>
              <w:rPr>
                <w:rFonts w:ascii="Arial" w:hAnsi="Arial" w:cs="Arial"/>
                <w:b/>
                <w:sz w:val="20"/>
                <w:szCs w:val="20"/>
              </w:rPr>
            </w:pPr>
            <w:r w:rsidRPr="00AD7D2B">
              <w:rPr>
                <w:rFonts w:ascii="Arial" w:hAnsi="Arial" w:cs="Arial"/>
                <w:b/>
                <w:sz w:val="20"/>
                <w:szCs w:val="20"/>
              </w:rPr>
              <w:t>Success Measures</w:t>
            </w:r>
          </w:p>
        </w:tc>
      </w:tr>
      <w:tr w:rsidR="00AD7D2B" w:rsidRPr="00AD7D2B" w:rsidTr="00AD7D2B">
        <w:tc>
          <w:tcPr>
            <w:tcW w:w="14174" w:type="dxa"/>
            <w:gridSpan w:val="6"/>
            <w:shd w:val="clear" w:color="auto" w:fill="31849B" w:themeFill="accent5" w:themeFillShade="BF"/>
          </w:tcPr>
          <w:p w:rsidR="00AD7D2B" w:rsidRPr="00AD7D2B" w:rsidRDefault="00AD7D2B" w:rsidP="00AD7D2B">
            <w:pPr>
              <w:jc w:val="center"/>
              <w:rPr>
                <w:rFonts w:ascii="Arial" w:hAnsi="Arial" w:cs="Arial"/>
                <w:b/>
                <w:sz w:val="24"/>
                <w:szCs w:val="24"/>
              </w:rPr>
            </w:pPr>
            <w:r w:rsidRPr="00AD7D2B">
              <w:rPr>
                <w:rFonts w:ascii="Arial" w:hAnsi="Arial" w:cs="Arial"/>
                <w:b/>
                <w:color w:val="FFFFFF" w:themeColor="background1"/>
                <w:sz w:val="24"/>
                <w:szCs w:val="24"/>
              </w:rPr>
              <w:t>1.  Improve gender equality measures</w:t>
            </w:r>
          </w:p>
        </w:tc>
      </w:tr>
      <w:tr w:rsidR="00D079EF" w:rsidRPr="00AD7D2B" w:rsidTr="003D4ED2">
        <w:tc>
          <w:tcPr>
            <w:tcW w:w="675" w:type="dxa"/>
          </w:tcPr>
          <w:p w:rsidR="00D079EF" w:rsidRPr="00AD7D2B" w:rsidRDefault="00D079EF">
            <w:pPr>
              <w:rPr>
                <w:rFonts w:ascii="Arial" w:hAnsi="Arial" w:cs="Arial"/>
                <w:sz w:val="20"/>
                <w:szCs w:val="20"/>
              </w:rPr>
            </w:pPr>
            <w:r>
              <w:rPr>
                <w:rFonts w:ascii="Arial" w:hAnsi="Arial" w:cs="Arial"/>
                <w:sz w:val="20"/>
                <w:szCs w:val="20"/>
              </w:rPr>
              <w:t>1.1</w:t>
            </w:r>
          </w:p>
        </w:tc>
        <w:tc>
          <w:tcPr>
            <w:tcW w:w="1701" w:type="dxa"/>
            <w:vMerge w:val="restart"/>
          </w:tcPr>
          <w:p w:rsidR="00D079EF" w:rsidRPr="00AD7D2B" w:rsidRDefault="00D079EF">
            <w:pPr>
              <w:rPr>
                <w:rFonts w:ascii="Arial" w:hAnsi="Arial" w:cs="Arial"/>
                <w:sz w:val="20"/>
                <w:szCs w:val="20"/>
              </w:rPr>
            </w:pPr>
            <w:r w:rsidRPr="00AD7D2B">
              <w:rPr>
                <w:rFonts w:ascii="Arial" w:hAnsi="Arial" w:cs="Arial"/>
                <w:sz w:val="20"/>
                <w:szCs w:val="20"/>
              </w:rPr>
              <w:t>Increase the proportion of women in senior and leadership roles in the Faculty</w:t>
            </w:r>
          </w:p>
        </w:tc>
        <w:tc>
          <w:tcPr>
            <w:tcW w:w="4395" w:type="dxa"/>
          </w:tcPr>
          <w:p w:rsidR="00D079EF" w:rsidRPr="00AD7D2B" w:rsidRDefault="00D079EF" w:rsidP="002973FF">
            <w:pPr>
              <w:rPr>
                <w:rFonts w:ascii="Arial" w:hAnsi="Arial" w:cs="Arial"/>
                <w:sz w:val="20"/>
                <w:szCs w:val="20"/>
              </w:rPr>
            </w:pPr>
            <w:r w:rsidRPr="00AD7D2B">
              <w:rPr>
                <w:rFonts w:ascii="Arial" w:hAnsi="Arial" w:cs="Arial"/>
                <w:sz w:val="20"/>
                <w:szCs w:val="20"/>
              </w:rPr>
              <w:t>Review communications about flexible and part time working arrangements in Institutes to ensure they are communicated openly and supportively;</w:t>
            </w:r>
          </w:p>
        </w:tc>
        <w:tc>
          <w:tcPr>
            <w:tcW w:w="1417" w:type="dxa"/>
          </w:tcPr>
          <w:p w:rsidR="00D079EF" w:rsidRPr="00AD7D2B" w:rsidRDefault="00D079EF" w:rsidP="002973FF">
            <w:pPr>
              <w:rPr>
                <w:rFonts w:ascii="Arial" w:hAnsi="Arial" w:cs="Arial"/>
                <w:sz w:val="20"/>
                <w:szCs w:val="20"/>
              </w:rPr>
            </w:pPr>
            <w:r w:rsidRPr="00AD7D2B">
              <w:rPr>
                <w:rFonts w:ascii="Arial" w:hAnsi="Arial" w:cs="Arial"/>
                <w:sz w:val="20"/>
                <w:szCs w:val="20"/>
              </w:rPr>
              <w:t>August 2013</w:t>
            </w:r>
          </w:p>
        </w:tc>
        <w:tc>
          <w:tcPr>
            <w:tcW w:w="1134" w:type="dxa"/>
          </w:tcPr>
          <w:p w:rsidR="00D079EF" w:rsidRPr="00AD7D2B" w:rsidRDefault="00D079EF" w:rsidP="002973FF">
            <w:pPr>
              <w:rPr>
                <w:rFonts w:ascii="Arial" w:hAnsi="Arial" w:cs="Arial"/>
                <w:sz w:val="20"/>
                <w:szCs w:val="20"/>
              </w:rPr>
            </w:pPr>
            <w:r w:rsidRPr="00AD7D2B">
              <w:rPr>
                <w:rFonts w:ascii="Arial" w:hAnsi="Arial" w:cs="Arial"/>
                <w:sz w:val="20"/>
                <w:szCs w:val="20"/>
              </w:rPr>
              <w:t xml:space="preserve">Faculty Manager </w:t>
            </w:r>
          </w:p>
        </w:tc>
        <w:tc>
          <w:tcPr>
            <w:tcW w:w="4852" w:type="dxa"/>
          </w:tcPr>
          <w:p w:rsidR="00D079EF" w:rsidRPr="00AD7D2B" w:rsidRDefault="00D079EF" w:rsidP="002973FF">
            <w:pPr>
              <w:rPr>
                <w:rFonts w:ascii="Arial" w:hAnsi="Arial" w:cs="Arial"/>
                <w:sz w:val="20"/>
                <w:szCs w:val="20"/>
              </w:rPr>
            </w:pPr>
            <w:r w:rsidRPr="00AD7D2B">
              <w:rPr>
                <w:rFonts w:ascii="Arial" w:hAnsi="Arial" w:cs="Arial"/>
                <w:sz w:val="20"/>
                <w:szCs w:val="20"/>
              </w:rPr>
              <w:t>Ask Institute Managers and SET committees for copy of communications, review induction documentation for new starters;</w:t>
            </w:r>
          </w:p>
        </w:tc>
      </w:tr>
      <w:tr w:rsidR="00D079EF" w:rsidRPr="00AD7D2B" w:rsidTr="003D4ED2">
        <w:tc>
          <w:tcPr>
            <w:tcW w:w="675" w:type="dxa"/>
          </w:tcPr>
          <w:p w:rsidR="00D079EF" w:rsidRPr="00AD7D2B" w:rsidRDefault="00D079EF">
            <w:pPr>
              <w:rPr>
                <w:rFonts w:ascii="Arial" w:hAnsi="Arial" w:cs="Arial"/>
                <w:sz w:val="20"/>
                <w:szCs w:val="20"/>
              </w:rPr>
            </w:pPr>
            <w:r>
              <w:rPr>
                <w:rFonts w:ascii="Arial" w:hAnsi="Arial" w:cs="Arial"/>
                <w:sz w:val="20"/>
                <w:szCs w:val="20"/>
              </w:rPr>
              <w:t>1.2</w:t>
            </w:r>
          </w:p>
        </w:tc>
        <w:tc>
          <w:tcPr>
            <w:tcW w:w="1701" w:type="dxa"/>
            <w:vMerge/>
          </w:tcPr>
          <w:p w:rsidR="00D079EF" w:rsidRPr="00AD7D2B" w:rsidRDefault="00D079EF">
            <w:pPr>
              <w:rPr>
                <w:rFonts w:ascii="Arial" w:hAnsi="Arial" w:cs="Arial"/>
                <w:sz w:val="20"/>
                <w:szCs w:val="20"/>
              </w:rPr>
            </w:pPr>
          </w:p>
        </w:tc>
        <w:tc>
          <w:tcPr>
            <w:tcW w:w="4395" w:type="dxa"/>
          </w:tcPr>
          <w:p w:rsidR="00D079EF" w:rsidRPr="00AD7D2B" w:rsidRDefault="00D079EF" w:rsidP="002973FF">
            <w:pPr>
              <w:rPr>
                <w:rFonts w:ascii="Arial" w:hAnsi="Arial" w:cs="Arial"/>
                <w:sz w:val="20"/>
                <w:szCs w:val="20"/>
              </w:rPr>
            </w:pPr>
            <w:r w:rsidRPr="00AD7D2B">
              <w:rPr>
                <w:rFonts w:ascii="Arial" w:hAnsi="Arial" w:cs="Arial"/>
                <w:sz w:val="20"/>
                <w:szCs w:val="20"/>
              </w:rPr>
              <w:t>If the above is not covered consistently within Institutes develop faculty-level internal web pages for ‘Family Support’ linking to the relevant SWAN sections of Institute pages and ensure these are incorporated in induct</w:t>
            </w:r>
            <w:r>
              <w:rPr>
                <w:rFonts w:ascii="Arial" w:hAnsi="Arial" w:cs="Arial"/>
                <w:sz w:val="20"/>
                <w:szCs w:val="20"/>
              </w:rPr>
              <w:t>ion documentation for new staff;</w:t>
            </w:r>
          </w:p>
        </w:tc>
        <w:tc>
          <w:tcPr>
            <w:tcW w:w="1417" w:type="dxa"/>
          </w:tcPr>
          <w:p w:rsidR="00D079EF" w:rsidRPr="00AD7D2B" w:rsidRDefault="00D079EF" w:rsidP="002973FF">
            <w:pPr>
              <w:rPr>
                <w:rFonts w:ascii="Arial" w:hAnsi="Arial" w:cs="Arial"/>
                <w:sz w:val="20"/>
                <w:szCs w:val="20"/>
              </w:rPr>
            </w:pPr>
            <w:r w:rsidRPr="00AD7D2B">
              <w:rPr>
                <w:rFonts w:ascii="Arial" w:hAnsi="Arial" w:cs="Arial"/>
                <w:sz w:val="20"/>
                <w:szCs w:val="20"/>
              </w:rPr>
              <w:t xml:space="preserve">October 2013 </w:t>
            </w:r>
          </w:p>
        </w:tc>
        <w:tc>
          <w:tcPr>
            <w:tcW w:w="1134" w:type="dxa"/>
          </w:tcPr>
          <w:p w:rsidR="00D079EF" w:rsidRPr="00AD7D2B" w:rsidRDefault="00D079EF" w:rsidP="002973FF">
            <w:pPr>
              <w:rPr>
                <w:rFonts w:ascii="Arial" w:hAnsi="Arial" w:cs="Arial"/>
                <w:sz w:val="20"/>
                <w:szCs w:val="20"/>
              </w:rPr>
            </w:pPr>
            <w:r w:rsidRPr="00AD7D2B">
              <w:rPr>
                <w:rFonts w:ascii="Arial" w:hAnsi="Arial" w:cs="Arial"/>
                <w:sz w:val="20"/>
                <w:szCs w:val="20"/>
              </w:rPr>
              <w:t xml:space="preserve">HR Network Lead </w:t>
            </w:r>
          </w:p>
        </w:tc>
        <w:tc>
          <w:tcPr>
            <w:tcW w:w="4852" w:type="dxa"/>
          </w:tcPr>
          <w:p w:rsidR="00D079EF" w:rsidRPr="00AD7D2B" w:rsidRDefault="00D079EF" w:rsidP="002973FF">
            <w:pPr>
              <w:rPr>
                <w:rFonts w:ascii="Arial" w:hAnsi="Arial" w:cs="Arial"/>
                <w:sz w:val="20"/>
                <w:szCs w:val="20"/>
              </w:rPr>
            </w:pPr>
            <w:r w:rsidRPr="00AD7D2B">
              <w:rPr>
                <w:rFonts w:ascii="Arial" w:hAnsi="Arial" w:cs="Arial"/>
                <w:sz w:val="20"/>
                <w:szCs w:val="20"/>
              </w:rPr>
              <w:t>Ask HR network members if they are aware of the new pages, provide links in Faculty newsletters and encourage SET members to disseminate and populate;</w:t>
            </w:r>
            <w:r>
              <w:rPr>
                <w:rFonts w:ascii="Arial" w:hAnsi="Arial" w:cs="Arial"/>
                <w:sz w:val="20"/>
                <w:szCs w:val="20"/>
              </w:rPr>
              <w:t xml:space="preserve"> </w:t>
            </w:r>
          </w:p>
        </w:tc>
      </w:tr>
      <w:tr w:rsidR="00D079EF" w:rsidRPr="00AD7D2B" w:rsidTr="003D4ED2">
        <w:tc>
          <w:tcPr>
            <w:tcW w:w="675" w:type="dxa"/>
          </w:tcPr>
          <w:p w:rsidR="00D079EF" w:rsidRDefault="00D079EF">
            <w:pPr>
              <w:rPr>
                <w:rFonts w:ascii="Arial" w:hAnsi="Arial" w:cs="Arial"/>
                <w:sz w:val="20"/>
                <w:szCs w:val="20"/>
              </w:rPr>
            </w:pPr>
            <w:r>
              <w:rPr>
                <w:rFonts w:ascii="Arial" w:hAnsi="Arial" w:cs="Arial"/>
                <w:sz w:val="20"/>
                <w:szCs w:val="20"/>
              </w:rPr>
              <w:t>1.3</w:t>
            </w:r>
          </w:p>
        </w:tc>
        <w:tc>
          <w:tcPr>
            <w:tcW w:w="1701" w:type="dxa"/>
            <w:vMerge/>
          </w:tcPr>
          <w:p w:rsidR="00D079EF" w:rsidRPr="00AD7D2B" w:rsidRDefault="00D079EF">
            <w:pPr>
              <w:rPr>
                <w:rFonts w:ascii="Arial" w:hAnsi="Arial" w:cs="Arial"/>
                <w:sz w:val="20"/>
                <w:szCs w:val="20"/>
              </w:rPr>
            </w:pPr>
          </w:p>
        </w:tc>
        <w:tc>
          <w:tcPr>
            <w:tcW w:w="4395" w:type="dxa"/>
          </w:tcPr>
          <w:p w:rsidR="00D079EF" w:rsidRPr="00AD7D2B" w:rsidRDefault="00D079EF" w:rsidP="002973FF">
            <w:pPr>
              <w:rPr>
                <w:rFonts w:ascii="Arial" w:hAnsi="Arial" w:cs="Arial"/>
                <w:sz w:val="20"/>
                <w:szCs w:val="20"/>
              </w:rPr>
            </w:pPr>
            <w:r>
              <w:rPr>
                <w:rFonts w:ascii="Arial" w:hAnsi="Arial" w:cs="Arial"/>
                <w:sz w:val="20"/>
                <w:szCs w:val="20"/>
              </w:rPr>
              <w:t>Establish a committed and engaged cross-faculty SWAN network to support those writing submissions, to  build a presence for the agenda at all levels and to share good practice;</w:t>
            </w:r>
          </w:p>
        </w:tc>
        <w:tc>
          <w:tcPr>
            <w:tcW w:w="1417" w:type="dxa"/>
          </w:tcPr>
          <w:p w:rsidR="00D079EF" w:rsidRDefault="00D079EF" w:rsidP="00AD7D2B">
            <w:pPr>
              <w:rPr>
                <w:rFonts w:ascii="Arial" w:hAnsi="Arial" w:cs="Arial"/>
                <w:sz w:val="20"/>
                <w:szCs w:val="20"/>
              </w:rPr>
            </w:pPr>
            <w:r>
              <w:rPr>
                <w:rFonts w:ascii="Arial" w:hAnsi="Arial" w:cs="Arial"/>
                <w:sz w:val="20"/>
                <w:szCs w:val="20"/>
              </w:rPr>
              <w:t>By November 2013</w:t>
            </w:r>
          </w:p>
        </w:tc>
        <w:tc>
          <w:tcPr>
            <w:tcW w:w="1134" w:type="dxa"/>
          </w:tcPr>
          <w:p w:rsidR="00D079EF" w:rsidRPr="00AD7D2B" w:rsidRDefault="00D079EF" w:rsidP="002973FF">
            <w:pPr>
              <w:rPr>
                <w:rFonts w:ascii="Arial" w:hAnsi="Arial" w:cs="Arial"/>
                <w:sz w:val="20"/>
                <w:szCs w:val="20"/>
              </w:rPr>
            </w:pPr>
            <w:r w:rsidRPr="00AD7D2B">
              <w:rPr>
                <w:rFonts w:ascii="Arial" w:hAnsi="Arial" w:cs="Arial"/>
                <w:sz w:val="20"/>
                <w:szCs w:val="20"/>
              </w:rPr>
              <w:t>HR Network Lead</w:t>
            </w:r>
          </w:p>
        </w:tc>
        <w:tc>
          <w:tcPr>
            <w:tcW w:w="4852" w:type="dxa"/>
          </w:tcPr>
          <w:p w:rsidR="00D079EF" w:rsidRPr="00AD7D2B" w:rsidRDefault="00D079EF" w:rsidP="002973FF">
            <w:pPr>
              <w:rPr>
                <w:rFonts w:ascii="Arial" w:hAnsi="Arial" w:cs="Arial"/>
                <w:sz w:val="20"/>
                <w:szCs w:val="20"/>
              </w:rPr>
            </w:pPr>
            <w:r>
              <w:rPr>
                <w:rFonts w:ascii="Arial" w:hAnsi="Arial" w:cs="Arial"/>
                <w:sz w:val="20"/>
                <w:szCs w:val="20"/>
              </w:rPr>
              <w:t>Publicise the network in the Faculty newsletter to generate interest, establish at the first meeting the most appropriate forum for support to and beyond the November submission date;</w:t>
            </w:r>
          </w:p>
        </w:tc>
      </w:tr>
      <w:tr w:rsidR="00D079EF" w:rsidRPr="00AD7D2B" w:rsidTr="003D4ED2">
        <w:tc>
          <w:tcPr>
            <w:tcW w:w="675" w:type="dxa"/>
          </w:tcPr>
          <w:p w:rsidR="00D079EF" w:rsidRPr="00AD7D2B" w:rsidRDefault="00D079EF">
            <w:pPr>
              <w:rPr>
                <w:rFonts w:ascii="Arial" w:hAnsi="Arial" w:cs="Arial"/>
                <w:sz w:val="20"/>
                <w:szCs w:val="20"/>
              </w:rPr>
            </w:pPr>
            <w:r>
              <w:rPr>
                <w:rFonts w:ascii="Arial" w:hAnsi="Arial" w:cs="Arial"/>
                <w:sz w:val="20"/>
                <w:szCs w:val="20"/>
              </w:rPr>
              <w:t>1.4</w:t>
            </w:r>
          </w:p>
        </w:tc>
        <w:tc>
          <w:tcPr>
            <w:tcW w:w="1701" w:type="dxa"/>
            <w:vMerge/>
          </w:tcPr>
          <w:p w:rsidR="00D079EF" w:rsidRPr="00AD7D2B" w:rsidRDefault="00D079EF">
            <w:pPr>
              <w:rPr>
                <w:rFonts w:ascii="Arial" w:hAnsi="Arial" w:cs="Arial"/>
                <w:sz w:val="20"/>
                <w:szCs w:val="20"/>
              </w:rPr>
            </w:pPr>
          </w:p>
        </w:tc>
        <w:tc>
          <w:tcPr>
            <w:tcW w:w="4395" w:type="dxa"/>
          </w:tcPr>
          <w:p w:rsidR="00D079EF" w:rsidRPr="00AD7D2B" w:rsidRDefault="00D079EF" w:rsidP="002973FF">
            <w:pPr>
              <w:rPr>
                <w:rFonts w:ascii="Arial" w:hAnsi="Arial" w:cs="Arial"/>
                <w:sz w:val="20"/>
                <w:szCs w:val="20"/>
              </w:rPr>
            </w:pPr>
            <w:r w:rsidRPr="00AD7D2B">
              <w:rPr>
                <w:rFonts w:ascii="Arial" w:hAnsi="Arial" w:cs="Arial"/>
                <w:sz w:val="20"/>
                <w:szCs w:val="20"/>
              </w:rPr>
              <w:t xml:space="preserve">Deliver faculty level communications to ensure appraisers fully support women taking maternity leave or career breaks; to be communicated within Faculty level reminders on annual appraisal; </w:t>
            </w:r>
          </w:p>
        </w:tc>
        <w:tc>
          <w:tcPr>
            <w:tcW w:w="1417" w:type="dxa"/>
          </w:tcPr>
          <w:p w:rsidR="00D079EF" w:rsidRPr="00AD7D2B" w:rsidRDefault="00D079EF" w:rsidP="00AD7D2B">
            <w:pPr>
              <w:rPr>
                <w:rFonts w:ascii="Arial" w:hAnsi="Arial" w:cs="Arial"/>
                <w:sz w:val="20"/>
                <w:szCs w:val="20"/>
              </w:rPr>
            </w:pPr>
            <w:r>
              <w:rPr>
                <w:rFonts w:ascii="Arial" w:hAnsi="Arial" w:cs="Arial"/>
                <w:sz w:val="20"/>
                <w:szCs w:val="20"/>
              </w:rPr>
              <w:t>A</w:t>
            </w:r>
            <w:r w:rsidRPr="00AD7D2B">
              <w:rPr>
                <w:rFonts w:ascii="Arial" w:hAnsi="Arial" w:cs="Arial"/>
                <w:sz w:val="20"/>
                <w:szCs w:val="20"/>
              </w:rPr>
              <w:t>nnounced April 2013, implemented August</w:t>
            </w:r>
          </w:p>
        </w:tc>
        <w:tc>
          <w:tcPr>
            <w:tcW w:w="1134" w:type="dxa"/>
          </w:tcPr>
          <w:p w:rsidR="00D079EF" w:rsidRPr="00AD7D2B" w:rsidRDefault="00D079EF" w:rsidP="002973FF">
            <w:pPr>
              <w:rPr>
                <w:rFonts w:ascii="Arial" w:hAnsi="Arial" w:cs="Arial"/>
                <w:sz w:val="20"/>
                <w:szCs w:val="20"/>
              </w:rPr>
            </w:pPr>
            <w:r w:rsidRPr="00AD7D2B">
              <w:rPr>
                <w:rFonts w:ascii="Arial" w:hAnsi="Arial" w:cs="Arial"/>
                <w:sz w:val="20"/>
                <w:szCs w:val="20"/>
              </w:rPr>
              <w:t xml:space="preserve">Faculty Manager </w:t>
            </w:r>
          </w:p>
        </w:tc>
        <w:tc>
          <w:tcPr>
            <w:tcW w:w="4852" w:type="dxa"/>
          </w:tcPr>
          <w:p w:rsidR="00D079EF" w:rsidRPr="00AD7D2B" w:rsidRDefault="00D079EF" w:rsidP="002973FF">
            <w:pPr>
              <w:rPr>
                <w:rFonts w:ascii="Arial" w:hAnsi="Arial" w:cs="Arial"/>
                <w:sz w:val="20"/>
                <w:szCs w:val="20"/>
              </w:rPr>
            </w:pPr>
            <w:r w:rsidRPr="00AD7D2B">
              <w:rPr>
                <w:rFonts w:ascii="Arial" w:hAnsi="Arial" w:cs="Arial"/>
                <w:sz w:val="20"/>
                <w:szCs w:val="20"/>
              </w:rPr>
              <w:t>Ask SET committees to evaluate at the end of the year whether the guidance to appraisers is being used effectively;</w:t>
            </w:r>
          </w:p>
        </w:tc>
      </w:tr>
      <w:tr w:rsidR="00D079EF" w:rsidRPr="00AD7D2B" w:rsidTr="003D4ED2">
        <w:tc>
          <w:tcPr>
            <w:tcW w:w="675" w:type="dxa"/>
          </w:tcPr>
          <w:p w:rsidR="00D079EF" w:rsidRPr="00AD7D2B" w:rsidRDefault="00D079EF">
            <w:pPr>
              <w:rPr>
                <w:rFonts w:ascii="Arial" w:hAnsi="Arial" w:cs="Arial"/>
                <w:sz w:val="20"/>
                <w:szCs w:val="20"/>
              </w:rPr>
            </w:pPr>
            <w:r>
              <w:rPr>
                <w:rFonts w:ascii="Arial" w:hAnsi="Arial" w:cs="Arial"/>
                <w:sz w:val="20"/>
                <w:szCs w:val="20"/>
              </w:rPr>
              <w:t>1.5</w:t>
            </w:r>
          </w:p>
        </w:tc>
        <w:tc>
          <w:tcPr>
            <w:tcW w:w="1701" w:type="dxa"/>
            <w:vMerge/>
          </w:tcPr>
          <w:p w:rsidR="00D079EF" w:rsidRPr="00AD7D2B" w:rsidRDefault="00D079EF">
            <w:pPr>
              <w:rPr>
                <w:rFonts w:ascii="Arial" w:hAnsi="Arial" w:cs="Arial"/>
                <w:sz w:val="20"/>
                <w:szCs w:val="20"/>
              </w:rPr>
            </w:pPr>
          </w:p>
        </w:tc>
        <w:tc>
          <w:tcPr>
            <w:tcW w:w="4395" w:type="dxa"/>
          </w:tcPr>
          <w:p w:rsidR="00D079EF" w:rsidRPr="00AD7D2B" w:rsidRDefault="00D079EF" w:rsidP="002973FF">
            <w:pPr>
              <w:rPr>
                <w:rFonts w:ascii="Arial" w:hAnsi="Arial" w:cs="Arial"/>
                <w:sz w:val="20"/>
                <w:szCs w:val="20"/>
              </w:rPr>
            </w:pPr>
            <w:r w:rsidRPr="00AD7D2B">
              <w:rPr>
                <w:rFonts w:ascii="Arial" w:hAnsi="Arial" w:cs="Arial"/>
                <w:sz w:val="20"/>
                <w:szCs w:val="20"/>
              </w:rPr>
              <w:t>Review current involvement in managerial and enabling roles and representative bodies and develop a set of actions to ensure appropriate representation and involvement;</w:t>
            </w:r>
          </w:p>
        </w:tc>
        <w:tc>
          <w:tcPr>
            <w:tcW w:w="1417" w:type="dxa"/>
          </w:tcPr>
          <w:p w:rsidR="00D079EF" w:rsidRPr="00AD7D2B" w:rsidRDefault="00D079EF" w:rsidP="002973FF">
            <w:pPr>
              <w:rPr>
                <w:rFonts w:ascii="Arial" w:hAnsi="Arial" w:cs="Arial"/>
                <w:sz w:val="20"/>
                <w:szCs w:val="20"/>
              </w:rPr>
            </w:pPr>
            <w:r w:rsidRPr="00AD7D2B">
              <w:rPr>
                <w:rFonts w:ascii="Arial" w:hAnsi="Arial" w:cs="Arial"/>
                <w:sz w:val="20"/>
                <w:szCs w:val="20"/>
              </w:rPr>
              <w:t>September 2013, reviewed in March 2014</w:t>
            </w:r>
          </w:p>
        </w:tc>
        <w:tc>
          <w:tcPr>
            <w:tcW w:w="1134" w:type="dxa"/>
          </w:tcPr>
          <w:p w:rsidR="00D079EF" w:rsidRPr="00AD7D2B" w:rsidRDefault="00D079EF" w:rsidP="002973FF">
            <w:pPr>
              <w:rPr>
                <w:rFonts w:ascii="Arial" w:hAnsi="Arial" w:cs="Arial"/>
                <w:sz w:val="20"/>
                <w:szCs w:val="20"/>
              </w:rPr>
            </w:pPr>
            <w:r w:rsidRPr="00AD7D2B">
              <w:rPr>
                <w:rFonts w:ascii="Arial" w:hAnsi="Arial" w:cs="Arial"/>
                <w:sz w:val="20"/>
                <w:szCs w:val="20"/>
              </w:rPr>
              <w:t>Institute Managers</w:t>
            </w:r>
          </w:p>
        </w:tc>
        <w:tc>
          <w:tcPr>
            <w:tcW w:w="4852" w:type="dxa"/>
          </w:tcPr>
          <w:p w:rsidR="00D079EF" w:rsidRPr="00AD7D2B" w:rsidRDefault="00D079EF" w:rsidP="002973FF">
            <w:pPr>
              <w:rPr>
                <w:rFonts w:ascii="Arial" w:hAnsi="Arial" w:cs="Arial"/>
                <w:sz w:val="20"/>
                <w:szCs w:val="20"/>
              </w:rPr>
            </w:pPr>
            <w:r w:rsidRPr="00AD7D2B">
              <w:rPr>
                <w:rFonts w:ascii="Arial" w:hAnsi="Arial" w:cs="Arial"/>
                <w:sz w:val="20"/>
                <w:szCs w:val="20"/>
              </w:rPr>
              <w:t>Faculty to provide Institute Managers with comparative data in September and March on women’s representation in enabling roles and to take further action if necessary to increase participation;</w:t>
            </w:r>
          </w:p>
        </w:tc>
      </w:tr>
      <w:tr w:rsidR="00D079EF" w:rsidRPr="00AD7D2B" w:rsidTr="003D4ED2">
        <w:tc>
          <w:tcPr>
            <w:tcW w:w="675" w:type="dxa"/>
          </w:tcPr>
          <w:p w:rsidR="00D079EF" w:rsidRPr="00AD7D2B" w:rsidRDefault="00D079EF">
            <w:pPr>
              <w:rPr>
                <w:rFonts w:ascii="Arial" w:hAnsi="Arial" w:cs="Arial"/>
                <w:sz w:val="20"/>
                <w:szCs w:val="20"/>
              </w:rPr>
            </w:pPr>
            <w:r>
              <w:rPr>
                <w:rFonts w:ascii="Arial" w:hAnsi="Arial" w:cs="Arial"/>
                <w:sz w:val="20"/>
                <w:szCs w:val="20"/>
              </w:rPr>
              <w:t>1.6</w:t>
            </w:r>
          </w:p>
        </w:tc>
        <w:tc>
          <w:tcPr>
            <w:tcW w:w="1701" w:type="dxa"/>
            <w:vMerge/>
          </w:tcPr>
          <w:p w:rsidR="00D079EF" w:rsidRPr="00AD7D2B" w:rsidRDefault="00D079EF">
            <w:pPr>
              <w:rPr>
                <w:rFonts w:ascii="Arial" w:hAnsi="Arial" w:cs="Arial"/>
                <w:sz w:val="20"/>
                <w:szCs w:val="20"/>
              </w:rPr>
            </w:pPr>
          </w:p>
        </w:tc>
        <w:tc>
          <w:tcPr>
            <w:tcW w:w="4395" w:type="dxa"/>
          </w:tcPr>
          <w:p w:rsidR="00D079EF" w:rsidRPr="00AD7D2B" w:rsidRDefault="00D079EF" w:rsidP="002973FF">
            <w:pPr>
              <w:rPr>
                <w:rFonts w:ascii="Arial" w:hAnsi="Arial" w:cs="Arial"/>
                <w:sz w:val="20"/>
                <w:szCs w:val="20"/>
              </w:rPr>
            </w:pPr>
            <w:r w:rsidRPr="00AD7D2B">
              <w:rPr>
                <w:rFonts w:ascii="Arial" w:hAnsi="Arial" w:cs="Arial"/>
                <w:sz w:val="20"/>
                <w:szCs w:val="20"/>
              </w:rPr>
              <w:t xml:space="preserve">Continue to review professorial pay banding for equity and equality disparities; </w:t>
            </w:r>
          </w:p>
        </w:tc>
        <w:tc>
          <w:tcPr>
            <w:tcW w:w="1417" w:type="dxa"/>
          </w:tcPr>
          <w:p w:rsidR="00D079EF" w:rsidRPr="00AD7D2B" w:rsidRDefault="003D4ED2" w:rsidP="002973FF">
            <w:pPr>
              <w:rPr>
                <w:rFonts w:ascii="Arial" w:hAnsi="Arial" w:cs="Arial"/>
                <w:sz w:val="20"/>
                <w:szCs w:val="20"/>
              </w:rPr>
            </w:pPr>
            <w:r w:rsidRPr="00AD7D2B">
              <w:rPr>
                <w:rFonts w:ascii="Arial" w:hAnsi="Arial" w:cs="Arial"/>
                <w:sz w:val="20"/>
                <w:szCs w:val="20"/>
              </w:rPr>
              <w:t>On-going</w:t>
            </w:r>
          </w:p>
        </w:tc>
        <w:tc>
          <w:tcPr>
            <w:tcW w:w="1134" w:type="dxa"/>
          </w:tcPr>
          <w:p w:rsidR="00D079EF" w:rsidRPr="00AD7D2B" w:rsidRDefault="00D079EF" w:rsidP="002973FF">
            <w:pPr>
              <w:rPr>
                <w:rFonts w:ascii="Arial" w:hAnsi="Arial" w:cs="Arial"/>
                <w:sz w:val="20"/>
                <w:szCs w:val="20"/>
              </w:rPr>
            </w:pPr>
            <w:r w:rsidRPr="00AD7D2B">
              <w:rPr>
                <w:rFonts w:ascii="Arial" w:hAnsi="Arial" w:cs="Arial"/>
                <w:sz w:val="20"/>
                <w:szCs w:val="20"/>
              </w:rPr>
              <w:t xml:space="preserve">Dean </w:t>
            </w:r>
          </w:p>
        </w:tc>
        <w:tc>
          <w:tcPr>
            <w:tcW w:w="4852" w:type="dxa"/>
          </w:tcPr>
          <w:p w:rsidR="00D079EF" w:rsidRPr="00AD7D2B" w:rsidRDefault="00D079EF" w:rsidP="002973FF">
            <w:pPr>
              <w:rPr>
                <w:rFonts w:ascii="Arial" w:hAnsi="Arial" w:cs="Arial"/>
                <w:sz w:val="20"/>
                <w:szCs w:val="20"/>
              </w:rPr>
            </w:pPr>
            <w:r w:rsidRPr="00AD7D2B">
              <w:rPr>
                <w:rFonts w:ascii="Arial" w:hAnsi="Arial" w:cs="Arial"/>
                <w:sz w:val="20"/>
                <w:szCs w:val="20"/>
              </w:rPr>
              <w:t>The Dean to review professorial pay banding on an annual basis in line with UCL processes and to address equity issues as appropriate;</w:t>
            </w:r>
          </w:p>
        </w:tc>
      </w:tr>
      <w:tr w:rsidR="00D079EF" w:rsidRPr="00AD7D2B" w:rsidTr="003D4ED2">
        <w:tc>
          <w:tcPr>
            <w:tcW w:w="675" w:type="dxa"/>
            <w:tcBorders>
              <w:bottom w:val="single" w:sz="4" w:space="0" w:color="auto"/>
            </w:tcBorders>
          </w:tcPr>
          <w:p w:rsidR="00D079EF" w:rsidRPr="00AD7D2B" w:rsidRDefault="00D079EF">
            <w:pPr>
              <w:rPr>
                <w:rFonts w:ascii="Arial" w:hAnsi="Arial" w:cs="Arial"/>
                <w:sz w:val="20"/>
                <w:szCs w:val="20"/>
              </w:rPr>
            </w:pPr>
            <w:r>
              <w:rPr>
                <w:rFonts w:ascii="Arial" w:hAnsi="Arial" w:cs="Arial"/>
                <w:sz w:val="20"/>
                <w:szCs w:val="20"/>
              </w:rPr>
              <w:t>1.7</w:t>
            </w:r>
          </w:p>
        </w:tc>
        <w:tc>
          <w:tcPr>
            <w:tcW w:w="1701" w:type="dxa"/>
            <w:vMerge/>
          </w:tcPr>
          <w:p w:rsidR="00D079EF" w:rsidRPr="00AD7D2B" w:rsidRDefault="00D079EF">
            <w:pPr>
              <w:rPr>
                <w:rFonts w:ascii="Arial" w:hAnsi="Arial" w:cs="Arial"/>
                <w:sz w:val="20"/>
                <w:szCs w:val="20"/>
              </w:rPr>
            </w:pPr>
          </w:p>
        </w:tc>
        <w:tc>
          <w:tcPr>
            <w:tcW w:w="4395" w:type="dxa"/>
            <w:tcBorders>
              <w:bottom w:val="single" w:sz="4" w:space="0" w:color="auto"/>
            </w:tcBorders>
          </w:tcPr>
          <w:p w:rsidR="00D079EF" w:rsidRPr="00AD7D2B" w:rsidRDefault="00D079EF" w:rsidP="002973FF">
            <w:pPr>
              <w:rPr>
                <w:rFonts w:ascii="Arial" w:hAnsi="Arial" w:cs="Arial"/>
                <w:sz w:val="20"/>
                <w:szCs w:val="20"/>
              </w:rPr>
            </w:pPr>
            <w:r w:rsidRPr="00AD7D2B">
              <w:rPr>
                <w:rFonts w:ascii="Arial" w:hAnsi="Arial" w:cs="Arial"/>
                <w:sz w:val="20"/>
                <w:szCs w:val="20"/>
              </w:rPr>
              <w:t>Implement revised promotions processes to ensure all staff are reviewed annually;</w:t>
            </w:r>
          </w:p>
        </w:tc>
        <w:tc>
          <w:tcPr>
            <w:tcW w:w="1417" w:type="dxa"/>
            <w:tcBorders>
              <w:bottom w:val="single" w:sz="4" w:space="0" w:color="auto"/>
            </w:tcBorders>
          </w:tcPr>
          <w:p w:rsidR="00D079EF" w:rsidRPr="00AD7D2B" w:rsidRDefault="003D4ED2" w:rsidP="002973FF">
            <w:pPr>
              <w:rPr>
                <w:rFonts w:ascii="Arial" w:hAnsi="Arial" w:cs="Arial"/>
                <w:sz w:val="20"/>
                <w:szCs w:val="20"/>
              </w:rPr>
            </w:pPr>
            <w:r w:rsidRPr="00AD7D2B">
              <w:rPr>
                <w:rFonts w:ascii="Arial" w:hAnsi="Arial" w:cs="Arial"/>
                <w:sz w:val="20"/>
                <w:szCs w:val="20"/>
              </w:rPr>
              <w:t>On-going</w:t>
            </w:r>
          </w:p>
        </w:tc>
        <w:tc>
          <w:tcPr>
            <w:tcW w:w="1134" w:type="dxa"/>
            <w:tcBorders>
              <w:bottom w:val="single" w:sz="4" w:space="0" w:color="auto"/>
            </w:tcBorders>
          </w:tcPr>
          <w:p w:rsidR="00D079EF" w:rsidRPr="00AD7D2B" w:rsidRDefault="00D079EF" w:rsidP="002973FF">
            <w:pPr>
              <w:rPr>
                <w:rFonts w:ascii="Arial" w:hAnsi="Arial" w:cs="Arial"/>
                <w:sz w:val="20"/>
                <w:szCs w:val="20"/>
              </w:rPr>
            </w:pPr>
            <w:r w:rsidRPr="00AD7D2B">
              <w:rPr>
                <w:rFonts w:ascii="Arial" w:hAnsi="Arial" w:cs="Arial"/>
                <w:sz w:val="20"/>
                <w:szCs w:val="20"/>
              </w:rPr>
              <w:t xml:space="preserve">Institute Managers </w:t>
            </w:r>
          </w:p>
        </w:tc>
        <w:tc>
          <w:tcPr>
            <w:tcW w:w="4852" w:type="dxa"/>
            <w:tcBorders>
              <w:bottom w:val="single" w:sz="4" w:space="0" w:color="auto"/>
            </w:tcBorders>
          </w:tcPr>
          <w:p w:rsidR="00D079EF" w:rsidRPr="00AD7D2B" w:rsidRDefault="00D079EF" w:rsidP="00D079EF">
            <w:pPr>
              <w:rPr>
                <w:rFonts w:ascii="Arial" w:hAnsi="Arial" w:cs="Arial"/>
                <w:sz w:val="20"/>
                <w:szCs w:val="20"/>
              </w:rPr>
            </w:pPr>
            <w:r w:rsidRPr="00AD7D2B">
              <w:rPr>
                <w:rFonts w:ascii="Arial" w:hAnsi="Arial" w:cs="Arial"/>
                <w:sz w:val="20"/>
                <w:szCs w:val="20"/>
              </w:rPr>
              <w:t>Appraisal rates measured by HR; Faculty Manager to review on monthly basis and IMs to ensure data recorded</w:t>
            </w:r>
            <w:r>
              <w:rPr>
                <w:rFonts w:ascii="Arial" w:hAnsi="Arial" w:cs="Arial"/>
                <w:sz w:val="20"/>
                <w:szCs w:val="20"/>
              </w:rPr>
              <w:t>;</w:t>
            </w:r>
          </w:p>
        </w:tc>
      </w:tr>
      <w:tr w:rsidR="00D079EF" w:rsidRPr="00AD7D2B" w:rsidTr="003D4ED2">
        <w:tc>
          <w:tcPr>
            <w:tcW w:w="675" w:type="dxa"/>
            <w:tcBorders>
              <w:bottom w:val="single" w:sz="4" w:space="0" w:color="auto"/>
            </w:tcBorders>
          </w:tcPr>
          <w:p w:rsidR="00D079EF" w:rsidRDefault="00D079EF">
            <w:pPr>
              <w:rPr>
                <w:rFonts w:ascii="Arial" w:hAnsi="Arial" w:cs="Arial"/>
                <w:sz w:val="20"/>
                <w:szCs w:val="20"/>
              </w:rPr>
            </w:pPr>
            <w:r>
              <w:rPr>
                <w:rFonts w:ascii="Arial" w:hAnsi="Arial" w:cs="Arial"/>
                <w:sz w:val="20"/>
                <w:szCs w:val="20"/>
              </w:rPr>
              <w:t>1.8</w:t>
            </w:r>
          </w:p>
        </w:tc>
        <w:tc>
          <w:tcPr>
            <w:tcW w:w="1701" w:type="dxa"/>
            <w:vMerge/>
            <w:tcBorders>
              <w:bottom w:val="single" w:sz="4" w:space="0" w:color="auto"/>
            </w:tcBorders>
          </w:tcPr>
          <w:p w:rsidR="00D079EF" w:rsidRPr="00AD7D2B" w:rsidRDefault="00D079EF">
            <w:pPr>
              <w:rPr>
                <w:rFonts w:ascii="Arial" w:hAnsi="Arial" w:cs="Arial"/>
                <w:sz w:val="20"/>
                <w:szCs w:val="20"/>
              </w:rPr>
            </w:pPr>
          </w:p>
        </w:tc>
        <w:tc>
          <w:tcPr>
            <w:tcW w:w="4395" w:type="dxa"/>
            <w:tcBorders>
              <w:bottom w:val="single" w:sz="4" w:space="0" w:color="auto"/>
            </w:tcBorders>
          </w:tcPr>
          <w:p w:rsidR="00D079EF" w:rsidRPr="00AD7D2B" w:rsidRDefault="00D079EF" w:rsidP="00D079EF">
            <w:pPr>
              <w:rPr>
                <w:rFonts w:ascii="Arial" w:hAnsi="Arial" w:cs="Arial"/>
                <w:sz w:val="20"/>
                <w:szCs w:val="20"/>
              </w:rPr>
            </w:pPr>
            <w:r>
              <w:rPr>
                <w:rFonts w:ascii="Arial" w:hAnsi="Arial" w:cs="Arial"/>
                <w:sz w:val="20"/>
                <w:szCs w:val="20"/>
              </w:rPr>
              <w:t>Review senior promotions data to establish if there are disparities in the number of successful applications from women;</w:t>
            </w:r>
            <w:bookmarkStart w:id="0" w:name="_GoBack"/>
            <w:bookmarkEnd w:id="0"/>
          </w:p>
        </w:tc>
        <w:tc>
          <w:tcPr>
            <w:tcW w:w="1417" w:type="dxa"/>
            <w:tcBorders>
              <w:bottom w:val="single" w:sz="4" w:space="0" w:color="auto"/>
            </w:tcBorders>
          </w:tcPr>
          <w:p w:rsidR="00D079EF" w:rsidRPr="00AD7D2B" w:rsidRDefault="00D079EF" w:rsidP="002973FF">
            <w:pPr>
              <w:rPr>
                <w:rFonts w:ascii="Arial" w:hAnsi="Arial" w:cs="Arial"/>
                <w:sz w:val="20"/>
                <w:szCs w:val="20"/>
              </w:rPr>
            </w:pPr>
            <w:r>
              <w:rPr>
                <w:rFonts w:ascii="Arial" w:hAnsi="Arial" w:cs="Arial"/>
                <w:sz w:val="20"/>
                <w:szCs w:val="20"/>
              </w:rPr>
              <w:t>December 2013</w:t>
            </w:r>
          </w:p>
        </w:tc>
        <w:tc>
          <w:tcPr>
            <w:tcW w:w="1134" w:type="dxa"/>
            <w:tcBorders>
              <w:bottom w:val="single" w:sz="4" w:space="0" w:color="auto"/>
            </w:tcBorders>
          </w:tcPr>
          <w:p w:rsidR="00D079EF" w:rsidRPr="00AD7D2B" w:rsidRDefault="00D079EF" w:rsidP="002973FF">
            <w:pPr>
              <w:rPr>
                <w:rFonts w:ascii="Arial" w:hAnsi="Arial" w:cs="Arial"/>
                <w:sz w:val="20"/>
                <w:szCs w:val="20"/>
              </w:rPr>
            </w:pPr>
            <w:r>
              <w:rPr>
                <w:rFonts w:ascii="Arial" w:hAnsi="Arial" w:cs="Arial"/>
                <w:sz w:val="20"/>
                <w:szCs w:val="20"/>
              </w:rPr>
              <w:t>Faculty Manager</w:t>
            </w:r>
          </w:p>
        </w:tc>
        <w:tc>
          <w:tcPr>
            <w:tcW w:w="4852" w:type="dxa"/>
            <w:tcBorders>
              <w:bottom w:val="single" w:sz="4" w:space="0" w:color="auto"/>
            </w:tcBorders>
          </w:tcPr>
          <w:p w:rsidR="00D079EF" w:rsidRPr="00AD7D2B" w:rsidRDefault="00D079EF" w:rsidP="002973FF">
            <w:pPr>
              <w:rPr>
                <w:rFonts w:ascii="Arial" w:hAnsi="Arial" w:cs="Arial"/>
                <w:sz w:val="20"/>
                <w:szCs w:val="20"/>
              </w:rPr>
            </w:pPr>
            <w:r>
              <w:rPr>
                <w:rFonts w:ascii="Arial" w:hAnsi="Arial" w:cs="Arial"/>
                <w:sz w:val="20"/>
                <w:szCs w:val="20"/>
              </w:rPr>
              <w:t>Complete the review and report to Institute Managers by Christmas for discussion to inform action plan for 2014/15.</w:t>
            </w:r>
          </w:p>
        </w:tc>
      </w:tr>
      <w:tr w:rsidR="00AD7D2B" w:rsidRPr="00AD7D2B" w:rsidTr="00AD7D2B">
        <w:tc>
          <w:tcPr>
            <w:tcW w:w="14174" w:type="dxa"/>
            <w:gridSpan w:val="6"/>
            <w:shd w:val="clear" w:color="auto" w:fill="31849B" w:themeFill="accent5" w:themeFillShade="BF"/>
          </w:tcPr>
          <w:p w:rsidR="00AD7D2B" w:rsidRPr="00AD7D2B" w:rsidRDefault="00AD7D2B" w:rsidP="00AD7D2B">
            <w:pPr>
              <w:jc w:val="center"/>
              <w:rPr>
                <w:rFonts w:ascii="Arial" w:hAnsi="Arial" w:cs="Arial"/>
                <w:sz w:val="20"/>
                <w:szCs w:val="20"/>
              </w:rPr>
            </w:pPr>
            <w:r w:rsidRPr="00AD7D2B">
              <w:rPr>
                <w:rFonts w:ascii="Arial" w:hAnsi="Arial" w:cs="Arial"/>
                <w:b/>
                <w:color w:val="FFFFFF" w:themeColor="background1"/>
                <w:sz w:val="24"/>
                <w:szCs w:val="20"/>
              </w:rPr>
              <w:lastRenderedPageBreak/>
              <w:t>2. Improve BME representation</w:t>
            </w:r>
          </w:p>
        </w:tc>
      </w:tr>
      <w:tr w:rsidR="00D079EF" w:rsidRPr="00AD7D2B" w:rsidTr="003D4ED2">
        <w:tc>
          <w:tcPr>
            <w:tcW w:w="675" w:type="dxa"/>
          </w:tcPr>
          <w:p w:rsidR="00D079EF" w:rsidRDefault="00D079EF">
            <w:pPr>
              <w:rPr>
                <w:rFonts w:ascii="Arial" w:hAnsi="Arial" w:cs="Arial"/>
                <w:sz w:val="20"/>
                <w:szCs w:val="20"/>
              </w:rPr>
            </w:pPr>
            <w:r>
              <w:rPr>
                <w:rFonts w:ascii="Arial" w:hAnsi="Arial" w:cs="Arial"/>
                <w:sz w:val="20"/>
                <w:szCs w:val="20"/>
              </w:rPr>
              <w:t>2.1</w:t>
            </w:r>
          </w:p>
        </w:tc>
        <w:tc>
          <w:tcPr>
            <w:tcW w:w="1701" w:type="dxa"/>
            <w:vMerge w:val="restart"/>
          </w:tcPr>
          <w:p w:rsidR="00D079EF" w:rsidRPr="00AD7D2B" w:rsidRDefault="00D079EF" w:rsidP="00000D4B">
            <w:pPr>
              <w:rPr>
                <w:rFonts w:ascii="Arial" w:hAnsi="Arial" w:cs="Arial"/>
                <w:sz w:val="20"/>
                <w:szCs w:val="20"/>
              </w:rPr>
            </w:pPr>
            <w:r w:rsidRPr="00AD7D2B">
              <w:rPr>
                <w:rFonts w:ascii="Arial" w:hAnsi="Arial" w:cs="Arial"/>
                <w:sz w:val="20"/>
                <w:szCs w:val="20"/>
              </w:rPr>
              <w:t>Improve the conversion rate between applications from BME staff to numbers of BME staff employed across the Faculty</w:t>
            </w:r>
          </w:p>
        </w:tc>
        <w:tc>
          <w:tcPr>
            <w:tcW w:w="4395" w:type="dxa"/>
          </w:tcPr>
          <w:p w:rsidR="00D079EF" w:rsidRPr="00AD7D2B" w:rsidRDefault="00D079EF" w:rsidP="000C1C19">
            <w:pPr>
              <w:rPr>
                <w:rFonts w:ascii="Arial" w:hAnsi="Arial" w:cs="Arial"/>
                <w:sz w:val="20"/>
                <w:szCs w:val="20"/>
              </w:rPr>
            </w:pPr>
            <w:r w:rsidRPr="000C1C19">
              <w:rPr>
                <w:rFonts w:ascii="Arial" w:hAnsi="Arial" w:cs="Arial"/>
                <w:sz w:val="20"/>
                <w:szCs w:val="20"/>
              </w:rPr>
              <w:t xml:space="preserve">Conduct an audit into disparities in recruitment outcomes for BME candidates and with the aim of building a better understanding of how and why this occurs in </w:t>
            </w:r>
            <w:r>
              <w:rPr>
                <w:rFonts w:ascii="Arial" w:hAnsi="Arial" w:cs="Arial"/>
                <w:sz w:val="20"/>
                <w:szCs w:val="20"/>
              </w:rPr>
              <w:t>FPHS;</w:t>
            </w:r>
          </w:p>
        </w:tc>
        <w:tc>
          <w:tcPr>
            <w:tcW w:w="1417" w:type="dxa"/>
          </w:tcPr>
          <w:p w:rsidR="00D079EF" w:rsidRPr="00AD7D2B" w:rsidRDefault="00D079EF" w:rsidP="002973FF">
            <w:pPr>
              <w:rPr>
                <w:rFonts w:ascii="Arial" w:hAnsi="Arial" w:cs="Arial"/>
                <w:sz w:val="20"/>
                <w:szCs w:val="20"/>
              </w:rPr>
            </w:pPr>
            <w:r>
              <w:rPr>
                <w:rFonts w:ascii="Arial" w:hAnsi="Arial" w:cs="Arial"/>
                <w:sz w:val="20"/>
                <w:szCs w:val="20"/>
              </w:rPr>
              <w:t>December 2013</w:t>
            </w:r>
          </w:p>
        </w:tc>
        <w:tc>
          <w:tcPr>
            <w:tcW w:w="1134" w:type="dxa"/>
          </w:tcPr>
          <w:p w:rsidR="00D079EF" w:rsidRPr="00AD7D2B" w:rsidRDefault="00D079EF" w:rsidP="002973FF">
            <w:pPr>
              <w:rPr>
                <w:rFonts w:ascii="Arial" w:hAnsi="Arial" w:cs="Arial"/>
                <w:sz w:val="20"/>
                <w:szCs w:val="20"/>
              </w:rPr>
            </w:pPr>
            <w:r>
              <w:rPr>
                <w:rFonts w:ascii="Arial" w:hAnsi="Arial" w:cs="Arial"/>
                <w:sz w:val="20"/>
                <w:szCs w:val="20"/>
              </w:rPr>
              <w:t>Faculty Manager</w:t>
            </w:r>
          </w:p>
        </w:tc>
        <w:tc>
          <w:tcPr>
            <w:tcW w:w="4852" w:type="dxa"/>
          </w:tcPr>
          <w:p w:rsidR="00D079EF" w:rsidRPr="00AD7D2B" w:rsidRDefault="00D079EF" w:rsidP="002973FF">
            <w:pPr>
              <w:rPr>
                <w:rFonts w:ascii="Arial" w:hAnsi="Arial" w:cs="Arial"/>
                <w:sz w:val="20"/>
                <w:szCs w:val="20"/>
              </w:rPr>
            </w:pPr>
            <w:r>
              <w:rPr>
                <w:rFonts w:ascii="Arial" w:hAnsi="Arial" w:cs="Arial"/>
                <w:sz w:val="20"/>
                <w:szCs w:val="20"/>
              </w:rPr>
              <w:t>Audit conducted and reported presented to the HR network and Institute Managers for discussion to inform action plan 2014/15;</w:t>
            </w:r>
          </w:p>
        </w:tc>
      </w:tr>
      <w:tr w:rsidR="00D079EF" w:rsidRPr="00AD7D2B" w:rsidTr="003D4ED2">
        <w:tc>
          <w:tcPr>
            <w:tcW w:w="675" w:type="dxa"/>
          </w:tcPr>
          <w:p w:rsidR="00D079EF" w:rsidRPr="00AD7D2B" w:rsidRDefault="00D079EF">
            <w:pPr>
              <w:rPr>
                <w:rFonts w:ascii="Arial" w:hAnsi="Arial" w:cs="Arial"/>
                <w:sz w:val="20"/>
                <w:szCs w:val="20"/>
              </w:rPr>
            </w:pPr>
            <w:r>
              <w:rPr>
                <w:rFonts w:ascii="Arial" w:hAnsi="Arial" w:cs="Arial"/>
                <w:sz w:val="20"/>
                <w:szCs w:val="20"/>
              </w:rPr>
              <w:t>2.2</w:t>
            </w:r>
          </w:p>
        </w:tc>
        <w:tc>
          <w:tcPr>
            <w:tcW w:w="1701" w:type="dxa"/>
            <w:vMerge/>
          </w:tcPr>
          <w:p w:rsidR="00D079EF" w:rsidRPr="00AD7D2B" w:rsidRDefault="00D079EF">
            <w:pPr>
              <w:rPr>
                <w:rFonts w:ascii="Arial" w:hAnsi="Arial" w:cs="Arial"/>
                <w:sz w:val="20"/>
                <w:szCs w:val="20"/>
              </w:rPr>
            </w:pPr>
          </w:p>
        </w:tc>
        <w:tc>
          <w:tcPr>
            <w:tcW w:w="4395" w:type="dxa"/>
          </w:tcPr>
          <w:p w:rsidR="00D079EF" w:rsidRPr="00AD7D2B" w:rsidRDefault="00D079EF" w:rsidP="002973FF">
            <w:pPr>
              <w:rPr>
                <w:rFonts w:ascii="Arial" w:hAnsi="Arial" w:cs="Arial"/>
                <w:sz w:val="20"/>
                <w:szCs w:val="20"/>
              </w:rPr>
            </w:pPr>
            <w:r w:rsidRPr="00AD7D2B">
              <w:rPr>
                <w:rFonts w:ascii="Arial" w:hAnsi="Arial" w:cs="Arial"/>
                <w:sz w:val="20"/>
                <w:szCs w:val="20"/>
              </w:rPr>
              <w:t>Encourage succession planning as part of strategic thinking and as a means of developing existing staff from BME groups;</w:t>
            </w:r>
          </w:p>
        </w:tc>
        <w:tc>
          <w:tcPr>
            <w:tcW w:w="1417" w:type="dxa"/>
          </w:tcPr>
          <w:p w:rsidR="00D079EF" w:rsidRPr="00AD7D2B" w:rsidRDefault="00D079EF" w:rsidP="002973FF">
            <w:pPr>
              <w:rPr>
                <w:rFonts w:ascii="Arial" w:hAnsi="Arial" w:cs="Arial"/>
                <w:sz w:val="20"/>
                <w:szCs w:val="20"/>
              </w:rPr>
            </w:pPr>
            <w:r w:rsidRPr="00AD7D2B">
              <w:rPr>
                <w:rFonts w:ascii="Arial" w:hAnsi="Arial" w:cs="Arial"/>
                <w:sz w:val="20"/>
                <w:szCs w:val="20"/>
              </w:rPr>
              <w:t>March 2014</w:t>
            </w:r>
          </w:p>
        </w:tc>
        <w:tc>
          <w:tcPr>
            <w:tcW w:w="1134" w:type="dxa"/>
          </w:tcPr>
          <w:p w:rsidR="00D079EF" w:rsidRPr="00AD7D2B" w:rsidRDefault="00D079EF" w:rsidP="002973FF">
            <w:pPr>
              <w:rPr>
                <w:rFonts w:ascii="Arial" w:hAnsi="Arial" w:cs="Arial"/>
                <w:sz w:val="20"/>
                <w:szCs w:val="20"/>
              </w:rPr>
            </w:pPr>
            <w:r w:rsidRPr="00AD7D2B">
              <w:rPr>
                <w:rFonts w:ascii="Arial" w:hAnsi="Arial" w:cs="Arial"/>
                <w:sz w:val="20"/>
                <w:szCs w:val="20"/>
              </w:rPr>
              <w:t>Institute Directors</w:t>
            </w:r>
          </w:p>
        </w:tc>
        <w:tc>
          <w:tcPr>
            <w:tcW w:w="4852" w:type="dxa"/>
          </w:tcPr>
          <w:p w:rsidR="00D079EF" w:rsidRPr="00AD7D2B" w:rsidRDefault="00D079EF" w:rsidP="002973FF">
            <w:pPr>
              <w:rPr>
                <w:rFonts w:ascii="Arial" w:hAnsi="Arial" w:cs="Arial"/>
                <w:sz w:val="20"/>
                <w:szCs w:val="20"/>
              </w:rPr>
            </w:pPr>
            <w:r w:rsidRPr="00AD7D2B">
              <w:rPr>
                <w:rFonts w:ascii="Arial" w:hAnsi="Arial" w:cs="Arial"/>
                <w:sz w:val="20"/>
                <w:szCs w:val="20"/>
              </w:rPr>
              <w:t xml:space="preserve">Institute Directors to build within their strategic plans consideration of succession planning, and to work with the Institute Managers to identify training opportunities for individuals. Review </w:t>
            </w:r>
            <w:r>
              <w:rPr>
                <w:rFonts w:ascii="Arial" w:hAnsi="Arial" w:cs="Arial"/>
                <w:sz w:val="20"/>
                <w:szCs w:val="20"/>
              </w:rPr>
              <w:t xml:space="preserve">promotions </w:t>
            </w:r>
            <w:r w:rsidRPr="00AD7D2B">
              <w:rPr>
                <w:rFonts w:ascii="Arial" w:hAnsi="Arial" w:cs="Arial"/>
                <w:sz w:val="20"/>
                <w:szCs w:val="20"/>
              </w:rPr>
              <w:t>data a</w:t>
            </w:r>
            <w:r>
              <w:rPr>
                <w:rFonts w:ascii="Arial" w:hAnsi="Arial" w:cs="Arial"/>
                <w:sz w:val="20"/>
                <w:szCs w:val="20"/>
              </w:rPr>
              <w:t>nnually with Institute Managers;</w:t>
            </w:r>
          </w:p>
        </w:tc>
      </w:tr>
      <w:tr w:rsidR="00D079EF" w:rsidRPr="00AD7D2B" w:rsidTr="003D4ED2">
        <w:tc>
          <w:tcPr>
            <w:tcW w:w="675" w:type="dxa"/>
            <w:tcBorders>
              <w:bottom w:val="single" w:sz="4" w:space="0" w:color="auto"/>
            </w:tcBorders>
          </w:tcPr>
          <w:p w:rsidR="00D079EF" w:rsidRPr="00AD7D2B" w:rsidRDefault="00D079EF">
            <w:pPr>
              <w:rPr>
                <w:rFonts w:ascii="Arial" w:hAnsi="Arial" w:cs="Arial"/>
                <w:sz w:val="20"/>
                <w:szCs w:val="20"/>
              </w:rPr>
            </w:pPr>
            <w:r>
              <w:rPr>
                <w:rFonts w:ascii="Arial" w:hAnsi="Arial" w:cs="Arial"/>
                <w:sz w:val="20"/>
                <w:szCs w:val="20"/>
              </w:rPr>
              <w:t>2.3</w:t>
            </w:r>
          </w:p>
        </w:tc>
        <w:tc>
          <w:tcPr>
            <w:tcW w:w="1701" w:type="dxa"/>
            <w:vMerge/>
          </w:tcPr>
          <w:p w:rsidR="00D079EF" w:rsidRPr="00AD7D2B" w:rsidRDefault="00D079EF">
            <w:pPr>
              <w:rPr>
                <w:rFonts w:ascii="Arial" w:hAnsi="Arial" w:cs="Arial"/>
                <w:sz w:val="20"/>
                <w:szCs w:val="20"/>
              </w:rPr>
            </w:pPr>
          </w:p>
        </w:tc>
        <w:tc>
          <w:tcPr>
            <w:tcW w:w="4395" w:type="dxa"/>
            <w:tcBorders>
              <w:bottom w:val="single" w:sz="4" w:space="0" w:color="auto"/>
            </w:tcBorders>
          </w:tcPr>
          <w:p w:rsidR="00D079EF" w:rsidRPr="00AD7D2B" w:rsidRDefault="00D079EF" w:rsidP="002973FF">
            <w:pPr>
              <w:rPr>
                <w:rFonts w:ascii="Arial" w:hAnsi="Arial" w:cs="Arial"/>
                <w:sz w:val="20"/>
                <w:szCs w:val="20"/>
              </w:rPr>
            </w:pPr>
            <w:r w:rsidRPr="00AD7D2B">
              <w:rPr>
                <w:rFonts w:ascii="Arial" w:hAnsi="Arial" w:cs="Arial"/>
                <w:sz w:val="20"/>
                <w:szCs w:val="20"/>
              </w:rPr>
              <w:t>Ensure that an appropriate balance of gender and ethnicity is, as far as possible, represented for the trial cohort of the Leadership Development Programme (Future Leaders);</w:t>
            </w:r>
          </w:p>
        </w:tc>
        <w:tc>
          <w:tcPr>
            <w:tcW w:w="1417" w:type="dxa"/>
            <w:tcBorders>
              <w:bottom w:val="single" w:sz="4" w:space="0" w:color="auto"/>
            </w:tcBorders>
          </w:tcPr>
          <w:p w:rsidR="00D079EF" w:rsidRPr="00AD7D2B" w:rsidRDefault="00D079EF" w:rsidP="002973FF">
            <w:pPr>
              <w:rPr>
                <w:rFonts w:ascii="Arial" w:hAnsi="Arial" w:cs="Arial"/>
                <w:sz w:val="20"/>
                <w:szCs w:val="20"/>
              </w:rPr>
            </w:pPr>
            <w:r>
              <w:rPr>
                <w:rFonts w:ascii="Arial" w:hAnsi="Arial" w:cs="Arial"/>
              </w:rPr>
              <w:t>September 2013</w:t>
            </w:r>
          </w:p>
        </w:tc>
        <w:tc>
          <w:tcPr>
            <w:tcW w:w="1134" w:type="dxa"/>
            <w:tcBorders>
              <w:bottom w:val="single" w:sz="4" w:space="0" w:color="auto"/>
            </w:tcBorders>
          </w:tcPr>
          <w:p w:rsidR="00D079EF" w:rsidRPr="00AD7D2B" w:rsidRDefault="00D079EF" w:rsidP="002973FF">
            <w:pPr>
              <w:rPr>
                <w:rFonts w:ascii="Arial" w:hAnsi="Arial" w:cs="Arial"/>
                <w:sz w:val="20"/>
                <w:szCs w:val="20"/>
              </w:rPr>
            </w:pPr>
            <w:r>
              <w:rPr>
                <w:rFonts w:ascii="Arial" w:hAnsi="Arial" w:cs="Arial"/>
                <w:sz w:val="20"/>
                <w:szCs w:val="20"/>
              </w:rPr>
              <w:t>Dean</w:t>
            </w:r>
          </w:p>
        </w:tc>
        <w:tc>
          <w:tcPr>
            <w:tcW w:w="4852" w:type="dxa"/>
            <w:tcBorders>
              <w:bottom w:val="single" w:sz="4" w:space="0" w:color="auto"/>
            </w:tcBorders>
          </w:tcPr>
          <w:p w:rsidR="00D079EF" w:rsidRPr="00AD7D2B" w:rsidRDefault="00D079EF" w:rsidP="002973FF">
            <w:pPr>
              <w:rPr>
                <w:rFonts w:ascii="Arial" w:hAnsi="Arial" w:cs="Arial"/>
                <w:sz w:val="20"/>
                <w:szCs w:val="20"/>
              </w:rPr>
            </w:pPr>
            <w:r w:rsidRPr="00FC7655">
              <w:rPr>
                <w:rFonts w:ascii="Arial" w:hAnsi="Arial" w:cs="Arial"/>
                <w:sz w:val="20"/>
                <w:szCs w:val="20"/>
              </w:rPr>
              <w:t>Dean to review gender &amp; ethnicity representation on cohort at the start of the programme in September, and compare with completion data in July 2014. If necessary consider a revised</w:t>
            </w:r>
            <w:r>
              <w:rPr>
                <w:rFonts w:ascii="Arial" w:hAnsi="Arial" w:cs="Arial"/>
                <w:sz w:val="20"/>
                <w:szCs w:val="20"/>
              </w:rPr>
              <w:t xml:space="preserve"> application process in 2014/15;</w:t>
            </w:r>
          </w:p>
        </w:tc>
      </w:tr>
      <w:tr w:rsidR="00D079EF" w:rsidRPr="00AD7D2B" w:rsidTr="003D4ED2">
        <w:tc>
          <w:tcPr>
            <w:tcW w:w="675" w:type="dxa"/>
            <w:tcBorders>
              <w:bottom w:val="single" w:sz="4" w:space="0" w:color="auto"/>
            </w:tcBorders>
          </w:tcPr>
          <w:p w:rsidR="00D079EF" w:rsidRDefault="00D079EF">
            <w:pPr>
              <w:rPr>
                <w:rFonts w:ascii="Arial" w:hAnsi="Arial" w:cs="Arial"/>
                <w:sz w:val="20"/>
                <w:szCs w:val="20"/>
              </w:rPr>
            </w:pPr>
            <w:r>
              <w:rPr>
                <w:rFonts w:ascii="Arial" w:hAnsi="Arial" w:cs="Arial"/>
                <w:sz w:val="20"/>
                <w:szCs w:val="20"/>
              </w:rPr>
              <w:t>2.4</w:t>
            </w:r>
          </w:p>
        </w:tc>
        <w:tc>
          <w:tcPr>
            <w:tcW w:w="1701" w:type="dxa"/>
            <w:vMerge/>
          </w:tcPr>
          <w:p w:rsidR="00D079EF" w:rsidRPr="00AD7D2B" w:rsidRDefault="00D079EF">
            <w:pPr>
              <w:rPr>
                <w:rFonts w:ascii="Arial" w:hAnsi="Arial" w:cs="Arial"/>
                <w:sz w:val="20"/>
                <w:szCs w:val="20"/>
              </w:rPr>
            </w:pPr>
          </w:p>
        </w:tc>
        <w:tc>
          <w:tcPr>
            <w:tcW w:w="4395" w:type="dxa"/>
            <w:tcBorders>
              <w:bottom w:val="single" w:sz="4" w:space="0" w:color="auto"/>
            </w:tcBorders>
          </w:tcPr>
          <w:p w:rsidR="00D079EF" w:rsidRPr="00AD7D2B" w:rsidRDefault="00D079EF" w:rsidP="00FC7655">
            <w:pPr>
              <w:rPr>
                <w:rFonts w:ascii="Arial" w:hAnsi="Arial" w:cs="Arial"/>
                <w:sz w:val="20"/>
                <w:szCs w:val="20"/>
              </w:rPr>
            </w:pPr>
            <w:r>
              <w:rPr>
                <w:rFonts w:ascii="Arial" w:hAnsi="Arial" w:cs="Arial"/>
                <w:sz w:val="20"/>
                <w:szCs w:val="20"/>
              </w:rPr>
              <w:t>The Faculty HR Network to commit to consulting with the UCL</w:t>
            </w:r>
            <w:r w:rsidRPr="00FC7655">
              <w:rPr>
                <w:rFonts w:ascii="Arial" w:hAnsi="Arial" w:cs="Arial"/>
                <w:sz w:val="20"/>
                <w:szCs w:val="20"/>
              </w:rPr>
              <w:t xml:space="preserve"> Race Equality Steering Group</w:t>
            </w:r>
            <w:r>
              <w:rPr>
                <w:rFonts w:ascii="Arial" w:hAnsi="Arial" w:cs="Arial"/>
                <w:sz w:val="20"/>
                <w:szCs w:val="20"/>
              </w:rPr>
              <w:t xml:space="preserve"> to identify further actions to be taken at Institute level.</w:t>
            </w:r>
          </w:p>
        </w:tc>
        <w:tc>
          <w:tcPr>
            <w:tcW w:w="1417" w:type="dxa"/>
            <w:tcBorders>
              <w:bottom w:val="single" w:sz="4" w:space="0" w:color="auto"/>
            </w:tcBorders>
          </w:tcPr>
          <w:p w:rsidR="00D079EF" w:rsidRPr="00AD7D2B" w:rsidRDefault="00D079EF" w:rsidP="00FC7655">
            <w:pPr>
              <w:rPr>
                <w:rFonts w:ascii="Arial" w:hAnsi="Arial" w:cs="Arial"/>
                <w:sz w:val="20"/>
                <w:szCs w:val="20"/>
              </w:rPr>
            </w:pPr>
            <w:r>
              <w:rPr>
                <w:rFonts w:ascii="Arial" w:hAnsi="Arial" w:cs="Arial"/>
                <w:sz w:val="20"/>
                <w:szCs w:val="20"/>
              </w:rPr>
              <w:t>By end of June 2014</w:t>
            </w:r>
          </w:p>
        </w:tc>
        <w:tc>
          <w:tcPr>
            <w:tcW w:w="1134" w:type="dxa"/>
            <w:tcBorders>
              <w:bottom w:val="single" w:sz="4" w:space="0" w:color="auto"/>
            </w:tcBorders>
          </w:tcPr>
          <w:p w:rsidR="00D079EF" w:rsidRPr="00AD7D2B" w:rsidRDefault="00D079EF" w:rsidP="002973FF">
            <w:pPr>
              <w:rPr>
                <w:rFonts w:ascii="Arial" w:hAnsi="Arial" w:cs="Arial"/>
                <w:sz w:val="20"/>
                <w:szCs w:val="20"/>
              </w:rPr>
            </w:pPr>
            <w:r>
              <w:rPr>
                <w:rFonts w:ascii="Arial" w:hAnsi="Arial" w:cs="Arial"/>
                <w:sz w:val="20"/>
                <w:szCs w:val="20"/>
              </w:rPr>
              <w:t>HR Network Lead</w:t>
            </w:r>
          </w:p>
        </w:tc>
        <w:tc>
          <w:tcPr>
            <w:tcW w:w="4852" w:type="dxa"/>
            <w:tcBorders>
              <w:bottom w:val="single" w:sz="4" w:space="0" w:color="auto"/>
            </w:tcBorders>
          </w:tcPr>
          <w:p w:rsidR="00D079EF" w:rsidRPr="00AD7D2B" w:rsidRDefault="00D079EF" w:rsidP="000C1C19">
            <w:pPr>
              <w:rPr>
                <w:rFonts w:ascii="Arial" w:hAnsi="Arial" w:cs="Arial"/>
                <w:sz w:val="20"/>
                <w:szCs w:val="20"/>
              </w:rPr>
            </w:pPr>
            <w:r>
              <w:rPr>
                <w:rFonts w:ascii="Arial" w:hAnsi="Arial" w:cs="Arial"/>
                <w:sz w:val="20"/>
                <w:szCs w:val="20"/>
              </w:rPr>
              <w:t>The Network to decide an appropriate cycle of engagement with the Steering Group.</w:t>
            </w:r>
          </w:p>
        </w:tc>
      </w:tr>
      <w:tr w:rsidR="00D079EF" w:rsidRPr="00AD7D2B" w:rsidTr="003D4ED2">
        <w:tc>
          <w:tcPr>
            <w:tcW w:w="675" w:type="dxa"/>
            <w:tcBorders>
              <w:bottom w:val="single" w:sz="4" w:space="0" w:color="auto"/>
            </w:tcBorders>
          </w:tcPr>
          <w:p w:rsidR="00D079EF" w:rsidRDefault="00D079EF">
            <w:pPr>
              <w:rPr>
                <w:rFonts w:ascii="Arial" w:hAnsi="Arial" w:cs="Arial"/>
                <w:sz w:val="20"/>
                <w:szCs w:val="20"/>
              </w:rPr>
            </w:pPr>
            <w:r>
              <w:rPr>
                <w:rFonts w:ascii="Arial" w:hAnsi="Arial" w:cs="Arial"/>
                <w:sz w:val="20"/>
                <w:szCs w:val="20"/>
              </w:rPr>
              <w:t>2.5</w:t>
            </w:r>
          </w:p>
        </w:tc>
        <w:tc>
          <w:tcPr>
            <w:tcW w:w="1701" w:type="dxa"/>
            <w:vMerge/>
            <w:tcBorders>
              <w:bottom w:val="single" w:sz="4" w:space="0" w:color="auto"/>
            </w:tcBorders>
          </w:tcPr>
          <w:p w:rsidR="00D079EF" w:rsidRPr="00AD7D2B" w:rsidRDefault="00D079EF">
            <w:pPr>
              <w:rPr>
                <w:rFonts w:ascii="Arial" w:hAnsi="Arial" w:cs="Arial"/>
                <w:sz w:val="20"/>
                <w:szCs w:val="20"/>
              </w:rPr>
            </w:pPr>
          </w:p>
        </w:tc>
        <w:tc>
          <w:tcPr>
            <w:tcW w:w="4395" w:type="dxa"/>
            <w:tcBorders>
              <w:bottom w:val="single" w:sz="4" w:space="0" w:color="auto"/>
            </w:tcBorders>
          </w:tcPr>
          <w:p w:rsidR="00D079EF" w:rsidRDefault="00D079EF" w:rsidP="00D079EF">
            <w:pPr>
              <w:rPr>
                <w:rFonts w:ascii="Arial" w:hAnsi="Arial" w:cs="Arial"/>
                <w:sz w:val="20"/>
                <w:szCs w:val="20"/>
              </w:rPr>
            </w:pPr>
            <w:r w:rsidRPr="00D079EF">
              <w:rPr>
                <w:rFonts w:ascii="Arial" w:hAnsi="Arial" w:cs="Arial"/>
                <w:sz w:val="20"/>
                <w:szCs w:val="20"/>
              </w:rPr>
              <w:t>Ensure</w:t>
            </w:r>
            <w:r>
              <w:rPr>
                <w:rFonts w:ascii="Arial" w:hAnsi="Arial" w:cs="Arial"/>
                <w:sz w:val="20"/>
                <w:szCs w:val="20"/>
              </w:rPr>
              <w:t xml:space="preserve"> all new</w:t>
            </w:r>
            <w:r w:rsidRPr="00D079EF">
              <w:rPr>
                <w:rFonts w:ascii="Arial" w:hAnsi="Arial" w:cs="Arial"/>
                <w:sz w:val="20"/>
                <w:szCs w:val="20"/>
              </w:rPr>
              <w:t xml:space="preserve"> staff </w:t>
            </w:r>
            <w:r>
              <w:rPr>
                <w:rFonts w:ascii="Arial" w:hAnsi="Arial" w:cs="Arial"/>
                <w:sz w:val="20"/>
                <w:szCs w:val="20"/>
              </w:rPr>
              <w:t xml:space="preserve"> undertake online E&amp;D training and that staff undertake refresher training every five years; </w:t>
            </w:r>
          </w:p>
        </w:tc>
        <w:tc>
          <w:tcPr>
            <w:tcW w:w="1417" w:type="dxa"/>
            <w:tcBorders>
              <w:bottom w:val="single" w:sz="4" w:space="0" w:color="auto"/>
            </w:tcBorders>
          </w:tcPr>
          <w:p w:rsidR="00D079EF" w:rsidRDefault="00D079EF" w:rsidP="00FC7655">
            <w:pPr>
              <w:rPr>
                <w:rFonts w:ascii="Arial" w:hAnsi="Arial" w:cs="Arial"/>
                <w:sz w:val="20"/>
                <w:szCs w:val="20"/>
              </w:rPr>
            </w:pPr>
            <w:r>
              <w:rPr>
                <w:rFonts w:ascii="Arial" w:hAnsi="Arial" w:cs="Arial"/>
                <w:sz w:val="20"/>
                <w:szCs w:val="20"/>
              </w:rPr>
              <w:t>By end of June 2014</w:t>
            </w:r>
          </w:p>
        </w:tc>
        <w:tc>
          <w:tcPr>
            <w:tcW w:w="1134" w:type="dxa"/>
            <w:tcBorders>
              <w:bottom w:val="single" w:sz="4" w:space="0" w:color="auto"/>
            </w:tcBorders>
          </w:tcPr>
          <w:p w:rsidR="00D079EF" w:rsidRDefault="00D079EF" w:rsidP="002973FF">
            <w:pPr>
              <w:rPr>
                <w:rFonts w:ascii="Arial" w:hAnsi="Arial" w:cs="Arial"/>
                <w:sz w:val="20"/>
                <w:szCs w:val="20"/>
              </w:rPr>
            </w:pPr>
            <w:r>
              <w:rPr>
                <w:rFonts w:ascii="Arial" w:hAnsi="Arial" w:cs="Arial"/>
                <w:sz w:val="20"/>
                <w:szCs w:val="20"/>
              </w:rPr>
              <w:t>Institute Managers</w:t>
            </w:r>
          </w:p>
        </w:tc>
        <w:tc>
          <w:tcPr>
            <w:tcW w:w="4852" w:type="dxa"/>
            <w:tcBorders>
              <w:bottom w:val="single" w:sz="4" w:space="0" w:color="auto"/>
            </w:tcBorders>
          </w:tcPr>
          <w:p w:rsidR="00D079EF" w:rsidRDefault="00D079EF" w:rsidP="00D079EF">
            <w:pPr>
              <w:rPr>
                <w:rFonts w:ascii="Arial" w:hAnsi="Arial" w:cs="Arial"/>
                <w:sz w:val="20"/>
                <w:szCs w:val="20"/>
              </w:rPr>
            </w:pPr>
            <w:r>
              <w:rPr>
                <w:rFonts w:ascii="Arial" w:hAnsi="Arial" w:cs="Arial"/>
                <w:sz w:val="20"/>
                <w:szCs w:val="20"/>
              </w:rPr>
              <w:t>Faculty Manager to request and review data and Institute Managers to discuss measures to improve participation;</w:t>
            </w:r>
          </w:p>
        </w:tc>
      </w:tr>
      <w:tr w:rsidR="00AD7D2B" w:rsidRPr="00AD7D2B" w:rsidTr="00AD7D2B">
        <w:tc>
          <w:tcPr>
            <w:tcW w:w="14174" w:type="dxa"/>
            <w:gridSpan w:val="6"/>
            <w:shd w:val="clear" w:color="auto" w:fill="31849B" w:themeFill="accent5" w:themeFillShade="BF"/>
          </w:tcPr>
          <w:p w:rsidR="00AD7D2B" w:rsidRPr="00AD7D2B" w:rsidRDefault="00AD7D2B" w:rsidP="00AD7D2B">
            <w:pPr>
              <w:jc w:val="center"/>
              <w:rPr>
                <w:rFonts w:ascii="Arial" w:hAnsi="Arial" w:cs="Arial"/>
                <w:sz w:val="24"/>
                <w:szCs w:val="24"/>
              </w:rPr>
            </w:pPr>
            <w:r w:rsidRPr="00AD7D2B">
              <w:rPr>
                <w:rFonts w:ascii="Arial" w:hAnsi="Arial" w:cs="Arial"/>
                <w:b/>
                <w:color w:val="FFFFFF" w:themeColor="background1"/>
                <w:sz w:val="24"/>
                <w:szCs w:val="24"/>
              </w:rPr>
              <w:t>3. Improve recruitment practices</w:t>
            </w:r>
          </w:p>
        </w:tc>
      </w:tr>
      <w:tr w:rsidR="00AD7D2B" w:rsidRPr="00AD7D2B" w:rsidTr="003D4ED2">
        <w:tc>
          <w:tcPr>
            <w:tcW w:w="675" w:type="dxa"/>
          </w:tcPr>
          <w:p w:rsidR="00AD7D2B" w:rsidRPr="00AD7D2B" w:rsidRDefault="00AD7D2B">
            <w:pPr>
              <w:rPr>
                <w:rFonts w:ascii="Arial" w:hAnsi="Arial" w:cs="Arial"/>
                <w:sz w:val="20"/>
                <w:szCs w:val="20"/>
              </w:rPr>
            </w:pPr>
            <w:r>
              <w:rPr>
                <w:rFonts w:ascii="Arial" w:hAnsi="Arial" w:cs="Arial"/>
                <w:sz w:val="20"/>
                <w:szCs w:val="20"/>
              </w:rPr>
              <w:t>3.1</w:t>
            </w:r>
          </w:p>
        </w:tc>
        <w:tc>
          <w:tcPr>
            <w:tcW w:w="1701" w:type="dxa"/>
            <w:vMerge w:val="restart"/>
          </w:tcPr>
          <w:p w:rsidR="00AD7D2B" w:rsidRPr="00AD7D2B" w:rsidRDefault="00AD7D2B">
            <w:pPr>
              <w:rPr>
                <w:rFonts w:ascii="Arial" w:hAnsi="Arial" w:cs="Arial"/>
                <w:sz w:val="20"/>
                <w:szCs w:val="20"/>
              </w:rPr>
            </w:pPr>
            <w:r w:rsidRPr="00AD7D2B">
              <w:rPr>
                <w:rFonts w:ascii="Arial" w:hAnsi="Arial" w:cs="Arial"/>
                <w:sz w:val="20"/>
                <w:szCs w:val="20"/>
              </w:rPr>
              <w:t>Ensure a reasonable balance of representation on recruitment panels for all posts across the Faculty on the basis of gender and ethnicity</w:t>
            </w:r>
          </w:p>
        </w:tc>
        <w:tc>
          <w:tcPr>
            <w:tcW w:w="4395" w:type="dxa"/>
          </w:tcPr>
          <w:p w:rsidR="00AD7D2B" w:rsidRPr="00AD7D2B" w:rsidRDefault="00AD7D2B" w:rsidP="002973FF">
            <w:pPr>
              <w:rPr>
                <w:rFonts w:ascii="Arial" w:hAnsi="Arial" w:cs="Arial"/>
                <w:sz w:val="20"/>
                <w:szCs w:val="20"/>
              </w:rPr>
            </w:pPr>
            <w:r w:rsidRPr="00AD7D2B">
              <w:rPr>
                <w:rFonts w:ascii="Arial" w:hAnsi="Arial" w:cs="Arial"/>
                <w:sz w:val="20"/>
                <w:szCs w:val="20"/>
              </w:rPr>
              <w:t>Develop a Faculty level pool of staff willing and qualified to be involved in recruitment panels published on the internal pages and including information about professional interests;</w:t>
            </w:r>
          </w:p>
        </w:tc>
        <w:tc>
          <w:tcPr>
            <w:tcW w:w="1417" w:type="dxa"/>
          </w:tcPr>
          <w:p w:rsidR="00AD7D2B" w:rsidRPr="00AD7D2B" w:rsidRDefault="00AD7D2B" w:rsidP="002973FF">
            <w:pPr>
              <w:rPr>
                <w:rFonts w:ascii="Arial" w:hAnsi="Arial" w:cs="Arial"/>
                <w:sz w:val="20"/>
                <w:szCs w:val="20"/>
              </w:rPr>
            </w:pPr>
            <w:r w:rsidRPr="00AD7D2B">
              <w:rPr>
                <w:rFonts w:ascii="Arial" w:hAnsi="Arial" w:cs="Arial"/>
                <w:sz w:val="20"/>
                <w:szCs w:val="20"/>
              </w:rPr>
              <w:t>From July 2013</w:t>
            </w:r>
          </w:p>
        </w:tc>
        <w:tc>
          <w:tcPr>
            <w:tcW w:w="1134" w:type="dxa"/>
          </w:tcPr>
          <w:p w:rsidR="00AD7D2B" w:rsidRPr="00AD7D2B" w:rsidRDefault="00AD7D2B" w:rsidP="002973FF">
            <w:pPr>
              <w:rPr>
                <w:rFonts w:ascii="Arial" w:hAnsi="Arial" w:cs="Arial"/>
                <w:sz w:val="20"/>
                <w:szCs w:val="20"/>
              </w:rPr>
            </w:pPr>
            <w:r w:rsidRPr="00AD7D2B">
              <w:rPr>
                <w:rFonts w:ascii="Arial" w:hAnsi="Arial" w:cs="Arial"/>
                <w:sz w:val="20"/>
                <w:szCs w:val="20"/>
              </w:rPr>
              <w:t>HR Network Lead</w:t>
            </w:r>
          </w:p>
        </w:tc>
        <w:tc>
          <w:tcPr>
            <w:tcW w:w="4852" w:type="dxa"/>
          </w:tcPr>
          <w:p w:rsidR="00AD7D2B" w:rsidRPr="00AD7D2B" w:rsidRDefault="00AD7D2B" w:rsidP="002973FF">
            <w:pPr>
              <w:rPr>
                <w:rFonts w:ascii="Arial" w:hAnsi="Arial" w:cs="Arial"/>
                <w:sz w:val="20"/>
                <w:szCs w:val="20"/>
              </w:rPr>
            </w:pPr>
            <w:r w:rsidRPr="00AD7D2B">
              <w:rPr>
                <w:rFonts w:ascii="Arial" w:hAnsi="Arial" w:cs="Arial"/>
                <w:sz w:val="20"/>
                <w:szCs w:val="20"/>
              </w:rPr>
              <w:t>By the end of the year have a bank of accurate data on recruitment panel composition and a spreadsheet of staff trained to act as interviewers;</w:t>
            </w:r>
          </w:p>
        </w:tc>
      </w:tr>
      <w:tr w:rsidR="00AD7D2B" w:rsidRPr="00AD7D2B" w:rsidTr="003D4ED2">
        <w:tc>
          <w:tcPr>
            <w:tcW w:w="675" w:type="dxa"/>
          </w:tcPr>
          <w:p w:rsidR="00AD7D2B" w:rsidRPr="00AD7D2B" w:rsidRDefault="00AD7D2B">
            <w:pPr>
              <w:rPr>
                <w:rFonts w:ascii="Arial" w:hAnsi="Arial" w:cs="Arial"/>
                <w:sz w:val="20"/>
                <w:szCs w:val="20"/>
              </w:rPr>
            </w:pPr>
            <w:r>
              <w:rPr>
                <w:rFonts w:ascii="Arial" w:hAnsi="Arial" w:cs="Arial"/>
                <w:sz w:val="20"/>
                <w:szCs w:val="20"/>
              </w:rPr>
              <w:t>3.2</w:t>
            </w:r>
          </w:p>
        </w:tc>
        <w:tc>
          <w:tcPr>
            <w:tcW w:w="1701" w:type="dxa"/>
            <w:vMerge/>
          </w:tcPr>
          <w:p w:rsidR="00AD7D2B" w:rsidRPr="00AD7D2B" w:rsidRDefault="00AD7D2B">
            <w:pPr>
              <w:rPr>
                <w:rFonts w:ascii="Arial" w:hAnsi="Arial" w:cs="Arial"/>
                <w:sz w:val="20"/>
                <w:szCs w:val="20"/>
              </w:rPr>
            </w:pPr>
          </w:p>
        </w:tc>
        <w:tc>
          <w:tcPr>
            <w:tcW w:w="4395" w:type="dxa"/>
          </w:tcPr>
          <w:p w:rsidR="00AD7D2B" w:rsidRPr="00AD7D2B" w:rsidRDefault="00AD7D2B" w:rsidP="002973FF">
            <w:pPr>
              <w:rPr>
                <w:rFonts w:ascii="Arial" w:hAnsi="Arial" w:cs="Arial"/>
                <w:sz w:val="20"/>
                <w:szCs w:val="20"/>
              </w:rPr>
            </w:pPr>
            <w:r w:rsidRPr="00AD7D2B">
              <w:rPr>
                <w:rFonts w:ascii="Arial" w:hAnsi="Arial" w:cs="Arial"/>
                <w:sz w:val="20"/>
                <w:szCs w:val="20"/>
              </w:rPr>
              <w:t>Identify cross-Faculty training opportunities not delivered elsewhere (Unconscious bias for grades 1-7 &amp; coaching/ mentoring for specific groups i.e., biostatisticians);</w:t>
            </w:r>
          </w:p>
        </w:tc>
        <w:tc>
          <w:tcPr>
            <w:tcW w:w="1417" w:type="dxa"/>
          </w:tcPr>
          <w:p w:rsidR="00AD7D2B" w:rsidRPr="00AD7D2B" w:rsidRDefault="00AD7D2B" w:rsidP="002973FF">
            <w:pPr>
              <w:rPr>
                <w:rFonts w:ascii="Arial" w:hAnsi="Arial" w:cs="Arial"/>
                <w:sz w:val="20"/>
                <w:szCs w:val="20"/>
              </w:rPr>
            </w:pPr>
            <w:r w:rsidRPr="00AD7D2B">
              <w:rPr>
                <w:rFonts w:ascii="Arial" w:hAnsi="Arial" w:cs="Arial"/>
                <w:sz w:val="20"/>
                <w:szCs w:val="20"/>
              </w:rPr>
              <w:t>September 2013</w:t>
            </w:r>
          </w:p>
        </w:tc>
        <w:tc>
          <w:tcPr>
            <w:tcW w:w="1134" w:type="dxa"/>
          </w:tcPr>
          <w:p w:rsidR="00AD7D2B" w:rsidRPr="00AD7D2B" w:rsidRDefault="00AD7D2B" w:rsidP="002973FF">
            <w:pPr>
              <w:rPr>
                <w:rFonts w:ascii="Arial" w:hAnsi="Arial" w:cs="Arial"/>
                <w:sz w:val="20"/>
                <w:szCs w:val="20"/>
              </w:rPr>
            </w:pPr>
            <w:r w:rsidRPr="00AD7D2B">
              <w:rPr>
                <w:rFonts w:ascii="Arial" w:hAnsi="Arial" w:cs="Arial"/>
                <w:sz w:val="20"/>
                <w:szCs w:val="20"/>
              </w:rPr>
              <w:t>HR Network Lead</w:t>
            </w:r>
          </w:p>
        </w:tc>
        <w:tc>
          <w:tcPr>
            <w:tcW w:w="4852" w:type="dxa"/>
          </w:tcPr>
          <w:p w:rsidR="00AD7D2B" w:rsidRPr="00AD7D2B" w:rsidRDefault="00AD7D2B" w:rsidP="002973FF">
            <w:pPr>
              <w:rPr>
                <w:rFonts w:ascii="Arial" w:hAnsi="Arial" w:cs="Arial"/>
                <w:sz w:val="20"/>
                <w:szCs w:val="20"/>
              </w:rPr>
            </w:pPr>
            <w:r w:rsidRPr="00AD7D2B">
              <w:rPr>
                <w:rFonts w:ascii="Arial" w:hAnsi="Arial" w:cs="Arial"/>
                <w:sz w:val="20"/>
                <w:szCs w:val="20"/>
              </w:rPr>
              <w:t>Develop a programme of training activities for the forthcoming year, making use of existing resource where possible and publicising as appropriate; measure success at the end of the year as an incre</w:t>
            </w:r>
            <w:r w:rsidR="000C1C19">
              <w:rPr>
                <w:rFonts w:ascii="Arial" w:hAnsi="Arial" w:cs="Arial"/>
                <w:sz w:val="20"/>
                <w:szCs w:val="20"/>
              </w:rPr>
              <w:t>ase in membership of HR network;</w:t>
            </w:r>
          </w:p>
        </w:tc>
      </w:tr>
      <w:tr w:rsidR="00AD7D2B" w:rsidRPr="00AD7D2B" w:rsidTr="003D4ED2">
        <w:tc>
          <w:tcPr>
            <w:tcW w:w="675" w:type="dxa"/>
          </w:tcPr>
          <w:p w:rsidR="00AD7D2B" w:rsidRPr="00AD7D2B" w:rsidRDefault="00AD7D2B">
            <w:pPr>
              <w:rPr>
                <w:rFonts w:ascii="Arial" w:hAnsi="Arial" w:cs="Arial"/>
                <w:sz w:val="20"/>
                <w:szCs w:val="20"/>
              </w:rPr>
            </w:pPr>
            <w:r>
              <w:rPr>
                <w:rFonts w:ascii="Arial" w:hAnsi="Arial" w:cs="Arial"/>
                <w:sz w:val="20"/>
                <w:szCs w:val="20"/>
              </w:rPr>
              <w:t>3.3</w:t>
            </w:r>
          </w:p>
        </w:tc>
        <w:tc>
          <w:tcPr>
            <w:tcW w:w="1701" w:type="dxa"/>
            <w:vMerge/>
          </w:tcPr>
          <w:p w:rsidR="00AD7D2B" w:rsidRPr="00AD7D2B" w:rsidRDefault="00AD7D2B">
            <w:pPr>
              <w:rPr>
                <w:rFonts w:ascii="Arial" w:hAnsi="Arial" w:cs="Arial"/>
                <w:sz w:val="20"/>
                <w:szCs w:val="20"/>
              </w:rPr>
            </w:pPr>
          </w:p>
        </w:tc>
        <w:tc>
          <w:tcPr>
            <w:tcW w:w="4395" w:type="dxa"/>
          </w:tcPr>
          <w:p w:rsidR="00AD7D2B" w:rsidRPr="00AD7D2B" w:rsidRDefault="00AD7D2B" w:rsidP="002973FF">
            <w:pPr>
              <w:rPr>
                <w:rFonts w:ascii="Arial" w:hAnsi="Arial" w:cs="Arial"/>
                <w:sz w:val="20"/>
                <w:szCs w:val="20"/>
              </w:rPr>
            </w:pPr>
            <w:r w:rsidRPr="00AD7D2B">
              <w:rPr>
                <w:rFonts w:ascii="Arial" w:hAnsi="Arial" w:cs="Arial"/>
                <w:sz w:val="20"/>
                <w:szCs w:val="20"/>
              </w:rPr>
              <w:t xml:space="preserve">Implement processes at Institute level to record and review panel membership and ensure that </w:t>
            </w:r>
            <w:r w:rsidR="002973FF">
              <w:rPr>
                <w:rFonts w:ascii="Arial" w:hAnsi="Arial" w:cs="Arial"/>
                <w:sz w:val="20"/>
                <w:szCs w:val="20"/>
              </w:rPr>
              <w:t>panels are increasingly diverse (and at the ve</w:t>
            </w:r>
            <w:r w:rsidR="000C1C19">
              <w:rPr>
                <w:rFonts w:ascii="Arial" w:hAnsi="Arial" w:cs="Arial"/>
                <w:sz w:val="20"/>
                <w:szCs w:val="20"/>
              </w:rPr>
              <w:t>ry least UCL Policy compliant).</w:t>
            </w:r>
          </w:p>
        </w:tc>
        <w:tc>
          <w:tcPr>
            <w:tcW w:w="1417" w:type="dxa"/>
          </w:tcPr>
          <w:p w:rsidR="00AD7D2B" w:rsidRPr="00AD7D2B" w:rsidRDefault="00AD7D2B" w:rsidP="002973FF">
            <w:pPr>
              <w:rPr>
                <w:rFonts w:ascii="Arial" w:hAnsi="Arial" w:cs="Arial"/>
                <w:sz w:val="20"/>
                <w:szCs w:val="20"/>
              </w:rPr>
            </w:pPr>
            <w:r w:rsidRPr="00AD7D2B">
              <w:rPr>
                <w:rFonts w:ascii="Arial" w:hAnsi="Arial" w:cs="Arial"/>
                <w:sz w:val="20"/>
                <w:szCs w:val="20"/>
              </w:rPr>
              <w:t>July 2014</w:t>
            </w:r>
          </w:p>
        </w:tc>
        <w:tc>
          <w:tcPr>
            <w:tcW w:w="1134" w:type="dxa"/>
          </w:tcPr>
          <w:p w:rsidR="00AD7D2B" w:rsidRPr="00AD7D2B" w:rsidRDefault="00AD7D2B" w:rsidP="002973FF">
            <w:pPr>
              <w:rPr>
                <w:rFonts w:ascii="Arial" w:hAnsi="Arial" w:cs="Arial"/>
                <w:sz w:val="20"/>
                <w:szCs w:val="20"/>
              </w:rPr>
            </w:pPr>
            <w:r w:rsidRPr="00AD7D2B">
              <w:rPr>
                <w:rFonts w:ascii="Arial" w:hAnsi="Arial" w:cs="Arial"/>
                <w:sz w:val="20"/>
                <w:szCs w:val="20"/>
              </w:rPr>
              <w:t>HR Network Lead</w:t>
            </w:r>
          </w:p>
        </w:tc>
        <w:tc>
          <w:tcPr>
            <w:tcW w:w="4852" w:type="dxa"/>
          </w:tcPr>
          <w:p w:rsidR="00AD7D2B" w:rsidRPr="00AD7D2B" w:rsidRDefault="00AD7D2B" w:rsidP="002973FF">
            <w:pPr>
              <w:rPr>
                <w:rFonts w:ascii="Arial" w:hAnsi="Arial" w:cs="Arial"/>
                <w:sz w:val="20"/>
                <w:szCs w:val="20"/>
              </w:rPr>
            </w:pPr>
            <w:r w:rsidRPr="00AD7D2B">
              <w:rPr>
                <w:rFonts w:ascii="Arial" w:hAnsi="Arial" w:cs="Arial"/>
                <w:sz w:val="20"/>
                <w:szCs w:val="20"/>
              </w:rPr>
              <w:t>HR network to develop system for recording and deliver training workshop in Autumn term 2013, departmental managers to ensure compliance and Institute Managers to review the year’s panel data in Summer 2014.</w:t>
            </w:r>
          </w:p>
        </w:tc>
      </w:tr>
    </w:tbl>
    <w:p w:rsidR="00826DE6" w:rsidRDefault="00826DE6"/>
    <w:sectPr w:rsidR="00826DE6" w:rsidSect="00AD7D2B">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55" w:rsidRDefault="00FC7655" w:rsidP="00AD7D2B">
      <w:pPr>
        <w:spacing w:after="0" w:line="240" w:lineRule="auto"/>
      </w:pPr>
      <w:r>
        <w:separator/>
      </w:r>
    </w:p>
  </w:endnote>
  <w:endnote w:type="continuationSeparator" w:id="0">
    <w:p w:rsidR="00FC7655" w:rsidRDefault="00FC7655" w:rsidP="00AD7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55" w:rsidRDefault="00FC7655" w:rsidP="00AD7D2B">
      <w:pPr>
        <w:spacing w:after="0" w:line="240" w:lineRule="auto"/>
      </w:pPr>
      <w:r>
        <w:separator/>
      </w:r>
    </w:p>
  </w:footnote>
  <w:footnote w:type="continuationSeparator" w:id="0">
    <w:p w:rsidR="00FC7655" w:rsidRDefault="00FC7655" w:rsidP="00AD7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55" w:rsidRDefault="00FC7655">
    <w:pPr>
      <w:pStyle w:val="Header"/>
    </w:pPr>
    <w:r w:rsidRPr="00AD7D2B">
      <w:t>Faculty of</w:t>
    </w:r>
    <w:r>
      <w:t xml:space="preserve"> Population Health Sciences</w:t>
    </w:r>
    <w:r>
      <w:tab/>
    </w:r>
    <w:r>
      <w:tab/>
    </w:r>
    <w:r>
      <w:tab/>
    </w:r>
    <w:r>
      <w:tab/>
    </w:r>
    <w:r w:rsidRPr="00AD7D2B">
      <w:t>Equity &amp; Equality Action Plan 2013/14</w:t>
    </w:r>
  </w:p>
  <w:p w:rsidR="00FC7655" w:rsidRDefault="00FC76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2B"/>
    <w:rsid w:val="000C1C19"/>
    <w:rsid w:val="002973FF"/>
    <w:rsid w:val="003D4ED2"/>
    <w:rsid w:val="00826DE6"/>
    <w:rsid w:val="008B0F28"/>
    <w:rsid w:val="00AD7D2B"/>
    <w:rsid w:val="00D079EF"/>
    <w:rsid w:val="00FC7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D2B"/>
  </w:style>
  <w:style w:type="paragraph" w:styleId="Footer">
    <w:name w:val="footer"/>
    <w:basedOn w:val="Normal"/>
    <w:link w:val="FooterChar"/>
    <w:uiPriority w:val="99"/>
    <w:unhideWhenUsed/>
    <w:rsid w:val="00AD7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D2B"/>
  </w:style>
  <w:style w:type="paragraph" w:styleId="BalloonText">
    <w:name w:val="Balloon Text"/>
    <w:basedOn w:val="Normal"/>
    <w:link w:val="BalloonTextChar"/>
    <w:uiPriority w:val="99"/>
    <w:semiHidden/>
    <w:unhideWhenUsed/>
    <w:rsid w:val="00AD7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D2B"/>
    <w:rPr>
      <w:rFonts w:ascii="Tahoma" w:hAnsi="Tahoma" w:cs="Tahoma"/>
      <w:sz w:val="16"/>
      <w:szCs w:val="16"/>
    </w:rPr>
  </w:style>
  <w:style w:type="table" w:styleId="TableGrid">
    <w:name w:val="Table Grid"/>
    <w:basedOn w:val="TableNormal"/>
    <w:uiPriority w:val="59"/>
    <w:rsid w:val="00AD7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7D2B"/>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D2B"/>
  </w:style>
  <w:style w:type="paragraph" w:styleId="Footer">
    <w:name w:val="footer"/>
    <w:basedOn w:val="Normal"/>
    <w:link w:val="FooterChar"/>
    <w:uiPriority w:val="99"/>
    <w:unhideWhenUsed/>
    <w:rsid w:val="00AD7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D2B"/>
  </w:style>
  <w:style w:type="paragraph" w:styleId="BalloonText">
    <w:name w:val="Balloon Text"/>
    <w:basedOn w:val="Normal"/>
    <w:link w:val="BalloonTextChar"/>
    <w:uiPriority w:val="99"/>
    <w:semiHidden/>
    <w:unhideWhenUsed/>
    <w:rsid w:val="00AD7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D2B"/>
    <w:rPr>
      <w:rFonts w:ascii="Tahoma" w:hAnsi="Tahoma" w:cs="Tahoma"/>
      <w:sz w:val="16"/>
      <w:szCs w:val="16"/>
    </w:rPr>
  </w:style>
  <w:style w:type="table" w:styleId="TableGrid">
    <w:name w:val="Table Grid"/>
    <w:basedOn w:val="TableNormal"/>
    <w:uiPriority w:val="59"/>
    <w:rsid w:val="00AD7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7D2B"/>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229711">
      <w:bodyDiv w:val="1"/>
      <w:marLeft w:val="0"/>
      <w:marRight w:val="0"/>
      <w:marTop w:val="0"/>
      <w:marBottom w:val="0"/>
      <w:divBdr>
        <w:top w:val="none" w:sz="0" w:space="0" w:color="auto"/>
        <w:left w:val="none" w:sz="0" w:space="0" w:color="auto"/>
        <w:bottom w:val="none" w:sz="0" w:space="0" w:color="auto"/>
        <w:right w:val="none" w:sz="0" w:space="0" w:color="auto"/>
      </w:divBdr>
    </w:div>
    <w:div w:id="18393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993AB7CA.dotm</Template>
  <TotalTime>0</TotalTime>
  <Pages>2</Pages>
  <Words>907</Words>
  <Characters>5170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UCL FBS AISC</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Catherine Dunphy</dc:creator>
  <cp:lastModifiedBy>Victoria Perry</cp:lastModifiedBy>
  <cp:revision>2</cp:revision>
  <cp:lastPrinted>2013-06-06T14:57:00Z</cp:lastPrinted>
  <dcterms:created xsi:type="dcterms:W3CDTF">2013-06-07T13:42:00Z</dcterms:created>
  <dcterms:modified xsi:type="dcterms:W3CDTF">2013-06-07T13:42:00Z</dcterms:modified>
</cp:coreProperties>
</file>