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42" w:rightFromText="142" w:vertAnchor="page" w:horzAnchor="page" w:tblpX="568" w:tblpY="568"/>
        <w:tblW w:w="453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97A9"/>
        <w:tblLook w:val="04A0" w:firstRow="1" w:lastRow="0" w:firstColumn="1" w:lastColumn="0" w:noHBand="0" w:noVBand="1"/>
      </w:tblPr>
      <w:tblGrid>
        <w:gridCol w:w="4536"/>
      </w:tblGrid>
      <w:tr w:rsidR="0058747B" w14:paraId="6D47F742" w14:textId="77777777" w:rsidTr="00242908">
        <w:trPr>
          <w:trHeight w:val="190"/>
        </w:trPr>
        <w:tc>
          <w:tcPr>
            <w:tcW w:w="5763" w:type="dxa"/>
            <w:shd w:val="clear" w:color="auto" w:fill="0097A9"/>
          </w:tcPr>
          <w:p w14:paraId="578D92DC" w14:textId="77777777" w:rsidR="0058747B" w:rsidRPr="0058747B" w:rsidRDefault="0058747B" w:rsidP="0047522E">
            <w:pPr>
              <w:pStyle w:val="strapline"/>
              <w:rPr>
                <w:b w:val="0"/>
                <w:bCs/>
              </w:rPr>
            </w:pPr>
            <w:bookmarkStart w:id="0" w:name="_MacBuGuideStaticData_560V"/>
            <w:bookmarkStart w:id="1" w:name="_MacBuGuideStaticData_11280V"/>
            <w:bookmarkStart w:id="2" w:name="_MacBuGuideStaticData_510H"/>
            <w:r>
              <w:t>London’s Global University</w:t>
            </w:r>
            <w:r>
              <w:br/>
            </w:r>
          </w:p>
        </w:tc>
      </w:tr>
    </w:tbl>
    <w:p w14:paraId="3AED1E71" w14:textId="4606D94C" w:rsidR="002F0B88" w:rsidRPr="002F0B88" w:rsidRDefault="00242908" w:rsidP="002F0B88">
      <w:pPr>
        <w:rPr>
          <w:rStyle w:val="normaltextrun"/>
          <w:rFonts w:cs="Arial"/>
          <w:color w:val="000000"/>
        </w:rPr>
      </w:pPr>
      <w:r w:rsidRPr="00036933">
        <w:rPr>
          <w:noProof/>
          <w:highlight w:val="black"/>
          <w:lang w:val="en-US" w:eastAsia="en-US"/>
        </w:rPr>
        <w:drawing>
          <wp:anchor distT="0" distB="0" distL="114300" distR="114300" simplePos="0" relativeHeight="251659264" behindDoc="1" locked="0" layoutInCell="1" allowOverlap="1" wp14:anchorId="0404B41A" wp14:editId="0FCB208A">
            <wp:simplePos x="0" y="0"/>
            <wp:positionH relativeFrom="page">
              <wp:posOffset>1270</wp:posOffset>
            </wp:positionH>
            <wp:positionV relativeFrom="page">
              <wp:posOffset>0</wp:posOffset>
            </wp:positionV>
            <wp:extent cx="7556500" cy="1432560"/>
            <wp:effectExtent l="0" t="0" r="0" b="2540"/>
            <wp:wrapNone/>
            <wp:docPr id="19" name="Picture 19" descr="A bright blue header banner with the UCL letters coloured white. In the top left corner is UCL's slogan written in Title Cas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bright blue header banner with the UCL letters coloured white. In the top left corner is UCL's slogan written in Title Case">
                      <a:extLst>
                        <a:ext uri="{C183D7F6-B498-43B3-948B-1728B52AA6E4}">
                          <adec:decorative xmlns:adec="http://schemas.microsoft.com/office/drawing/2017/decorative" val="0"/>
                        </a:ext>
                      </a:extLst>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7556500" cy="1432560"/>
                    </a:xfrm>
                    <a:prstGeom prst="rect">
                      <a:avLst/>
                    </a:prstGeom>
                  </pic:spPr>
                </pic:pic>
              </a:graphicData>
            </a:graphic>
            <wp14:sizeRelH relativeFrom="margin">
              <wp14:pctWidth>0</wp14:pctWidth>
            </wp14:sizeRelH>
            <wp14:sizeRelV relativeFrom="margin">
              <wp14:pctHeight>0</wp14:pctHeight>
            </wp14:sizeRelV>
          </wp:anchor>
        </w:drawing>
      </w:r>
    </w:p>
    <w:p w14:paraId="04EB7756" w14:textId="77777777" w:rsidR="002F0B88" w:rsidRDefault="002F0B88" w:rsidP="002F0B88">
      <w:pPr>
        <w:rPr>
          <w:rStyle w:val="normaltextrun"/>
          <w:rFonts w:cs="Arial"/>
          <w:b/>
          <w:bCs/>
          <w:color w:val="000000"/>
        </w:rPr>
      </w:pPr>
    </w:p>
    <w:bookmarkEnd w:id="0"/>
    <w:bookmarkEnd w:id="1"/>
    <w:bookmarkEnd w:id="2"/>
    <w:p w14:paraId="3D77E35B" w14:textId="77777777" w:rsidR="00325F44" w:rsidRPr="001B1C5B" w:rsidRDefault="00325F44" w:rsidP="00325F44">
      <w:pPr>
        <w:pStyle w:val="Heading1"/>
        <w:rPr>
          <w:rStyle w:val="normaltextrun"/>
          <w:rFonts w:cs="Arial"/>
          <w:bCs/>
          <w:color w:val="000000"/>
        </w:rPr>
      </w:pPr>
      <w:r w:rsidRPr="001B1C5B">
        <w:rPr>
          <w:rStyle w:val="normaltextrun"/>
          <w:rFonts w:cs="Arial"/>
          <w:bCs/>
          <w:color w:val="000000"/>
        </w:rPr>
        <w:t>Technician Commitment Self-Assessment Stage 2</w:t>
      </w:r>
    </w:p>
    <w:p w14:paraId="3B59F180" w14:textId="77777777" w:rsidR="00325F44" w:rsidRDefault="00325F44" w:rsidP="00325F44">
      <w:pPr>
        <w:rPr>
          <w:rStyle w:val="normaltextrun"/>
          <w:rFonts w:cs="Arial"/>
          <w:color w:val="000000"/>
        </w:rPr>
      </w:pPr>
    </w:p>
    <w:p w14:paraId="0492945E" w14:textId="77777777" w:rsidR="00325F44" w:rsidRDefault="00325F44" w:rsidP="00325F44">
      <w:pPr>
        <w:rPr>
          <w:rStyle w:val="normaltextrun"/>
          <w:rFonts w:cs="Arial"/>
          <w:color w:val="000000"/>
        </w:rPr>
      </w:pPr>
      <w:r>
        <w:rPr>
          <w:rStyle w:val="normaltextrun"/>
          <w:rFonts w:cs="Arial"/>
          <w:color w:val="000000"/>
        </w:rPr>
        <w:t>UCL is unique on the breath and complexity of its world-leading research, enabled by its technical community.</w:t>
      </w:r>
    </w:p>
    <w:p w14:paraId="06529DF6" w14:textId="77777777" w:rsidR="00325F44" w:rsidRDefault="00325F44" w:rsidP="00325F44">
      <w:pPr>
        <w:pStyle w:val="paragraph"/>
        <w:spacing w:before="0" w:beforeAutospacing="0" w:after="0" w:afterAutospacing="0"/>
        <w:textAlignment w:val="baseline"/>
        <w:rPr>
          <w:rStyle w:val="normaltextrun"/>
          <w:rFonts w:ascii="Arial" w:eastAsiaTheme="minorEastAsia" w:hAnsi="Arial" w:cs="Arial"/>
          <w:color w:val="000000"/>
          <w:lang w:eastAsia="ja-JP"/>
        </w:rPr>
      </w:pPr>
    </w:p>
    <w:p w14:paraId="2A82A89B" w14:textId="77777777" w:rsidR="00325F44" w:rsidRPr="009E451A" w:rsidRDefault="00325F44" w:rsidP="00325F44">
      <w:pPr>
        <w:pStyle w:val="paragraph"/>
        <w:spacing w:before="0" w:beforeAutospacing="0" w:after="0" w:afterAutospacing="0"/>
        <w:textAlignment w:val="baseline"/>
        <w:rPr>
          <w:rStyle w:val="normaltextrun"/>
          <w:rFonts w:ascii="Arial" w:eastAsiaTheme="minorEastAsia" w:hAnsi="Arial" w:cs="Arial"/>
          <w:color w:val="000000"/>
          <w:lang w:eastAsia="ja-JP"/>
        </w:rPr>
      </w:pPr>
      <w:r w:rsidRPr="625DFD81">
        <w:rPr>
          <w:rStyle w:val="normaltextrun"/>
          <w:rFonts w:ascii="Arial" w:eastAsiaTheme="minorEastAsia" w:hAnsi="Arial" w:cs="Arial"/>
          <w:color w:val="000000" w:themeColor="text1"/>
          <w:lang w:eastAsia="ja-JP"/>
        </w:rPr>
        <w:t>Research and Teaching Technical Professionals (RTTP) perform a critical role in conducting research, delivering education, innovation, sharing knowledge and contributing to health and safety and sustainability practices. There are currently over 1,200 RTTP staff at UCL ranging between grades 4-10 dependent on their roles and responsibilities. This community adds value by providing technical skills and experience, often unique to their role, which grows in scope and complexity over time. RTTP staff also include Research Professionals: pools of highly qualified research and innovation staff who enable, contribute to and support research through advanced skills. </w:t>
      </w:r>
      <w:r w:rsidRPr="625DFD81">
        <w:rPr>
          <w:rStyle w:val="normaltextrun"/>
          <w:rFonts w:ascii="Arial" w:eastAsiaTheme="minorEastAsia" w:hAnsi="Arial"/>
          <w:color w:val="000000" w:themeColor="text1"/>
          <w:lang w:eastAsia="ja-JP"/>
        </w:rPr>
        <w:t> </w:t>
      </w:r>
    </w:p>
    <w:p w14:paraId="718B0BA9" w14:textId="77777777" w:rsidR="00325F44" w:rsidRPr="009E451A" w:rsidRDefault="00325F44" w:rsidP="00325F44">
      <w:pPr>
        <w:pStyle w:val="paragraph"/>
        <w:spacing w:before="0" w:beforeAutospacing="0" w:after="0" w:afterAutospacing="0"/>
        <w:textAlignment w:val="baseline"/>
        <w:rPr>
          <w:rStyle w:val="normaltextrun"/>
          <w:rFonts w:ascii="Arial" w:eastAsiaTheme="minorEastAsia" w:hAnsi="Arial" w:cs="Arial"/>
          <w:color w:val="000000"/>
          <w:lang w:eastAsia="ja-JP"/>
        </w:rPr>
      </w:pPr>
      <w:r w:rsidRPr="009E451A">
        <w:rPr>
          <w:rStyle w:val="normaltextrun"/>
          <w:rFonts w:ascii="Arial" w:eastAsiaTheme="minorEastAsia" w:hAnsi="Arial"/>
          <w:color w:val="000000"/>
          <w:lang w:eastAsia="ja-JP"/>
        </w:rPr>
        <w:t> </w:t>
      </w:r>
    </w:p>
    <w:p w14:paraId="7E4B4BED" w14:textId="77777777" w:rsidR="00325F44" w:rsidRPr="009E451A" w:rsidRDefault="00325F44" w:rsidP="00325F44">
      <w:pPr>
        <w:pStyle w:val="paragraph"/>
        <w:spacing w:before="0" w:beforeAutospacing="0" w:after="0" w:afterAutospacing="0"/>
        <w:textAlignment w:val="baseline"/>
        <w:rPr>
          <w:rStyle w:val="normaltextrun"/>
          <w:rFonts w:ascii="Arial" w:eastAsiaTheme="minorEastAsia" w:hAnsi="Arial" w:cs="Arial"/>
          <w:color w:val="000000"/>
          <w:lang w:eastAsia="ja-JP"/>
        </w:rPr>
      </w:pPr>
      <w:r w:rsidRPr="009E451A">
        <w:rPr>
          <w:rStyle w:val="normaltextrun"/>
          <w:rFonts w:ascii="Arial" w:eastAsiaTheme="minorEastAsia" w:hAnsi="Arial" w:cs="Arial"/>
          <w:color w:val="000000"/>
          <w:lang w:eastAsia="ja-JP"/>
        </w:rPr>
        <w:t>There is a significant threat to the attraction and retention of RTTPs and UCL is at risk of losing critical skills required to conduct research, deliver education, innovate and share knowledge. UCL competitors have made significant strides in mitigating this risk by establishing new technical strategy leadership positions, implementing career pathways, promoting apprenticeship schemes, and improving the recognition and visibility of technical staff within the organisation.</w:t>
      </w:r>
      <w:r w:rsidRPr="009E451A">
        <w:rPr>
          <w:rStyle w:val="normaltextrun"/>
          <w:rFonts w:ascii="Arial" w:eastAsiaTheme="minorEastAsia" w:hAnsi="Arial"/>
          <w:color w:val="000000"/>
          <w:lang w:eastAsia="ja-JP"/>
        </w:rPr>
        <w:t> </w:t>
      </w:r>
    </w:p>
    <w:p w14:paraId="29ACB4EA" w14:textId="77777777" w:rsidR="00325F44" w:rsidRDefault="00325F44" w:rsidP="00325F44">
      <w:pPr>
        <w:rPr>
          <w:rStyle w:val="normaltextrun"/>
          <w:rFonts w:cs="Arial"/>
          <w:color w:val="000000"/>
        </w:rPr>
      </w:pPr>
    </w:p>
    <w:p w14:paraId="61A54B8C" w14:textId="77777777" w:rsidR="00325F44" w:rsidRDefault="00325F44" w:rsidP="00325F44">
      <w:pPr>
        <w:rPr>
          <w:rStyle w:val="normaltextrun"/>
          <w:rFonts w:cs="Arial"/>
          <w:color w:val="000000"/>
        </w:rPr>
      </w:pPr>
      <w:r w:rsidRPr="5DE41D68">
        <w:rPr>
          <w:rStyle w:val="normaltextrun"/>
          <w:rFonts w:cs="Arial"/>
          <w:color w:val="000000" w:themeColor="text1"/>
        </w:rPr>
        <w:t xml:space="preserve">In October 2018, UCL signed the Technician Commitment and in 2020 </w:t>
      </w:r>
      <w:r>
        <w:rPr>
          <w:rStyle w:val="normaltextrun"/>
          <w:rFonts w:cs="Arial"/>
          <w:color w:val="000000" w:themeColor="text1"/>
        </w:rPr>
        <w:t>the</w:t>
      </w:r>
      <w:r w:rsidRPr="5DE41D68">
        <w:rPr>
          <w:rStyle w:val="normaltextrun"/>
          <w:rFonts w:cs="Arial"/>
          <w:color w:val="000000" w:themeColor="text1"/>
        </w:rPr>
        <w:t xml:space="preserve"> Technical Staff Project commenced in UCL, with the aim to progress the 2018 Technician Commitment’s Action Plan and lay a foundation of active technical staff working groups and platforms that could develop initiatives in line with the Technician Commitment. </w:t>
      </w:r>
    </w:p>
    <w:p w14:paraId="1D503232" w14:textId="77777777" w:rsidR="00325F44" w:rsidRDefault="00325F44" w:rsidP="00325F44">
      <w:pPr>
        <w:rPr>
          <w:rStyle w:val="normaltextrun"/>
          <w:rFonts w:cs="Arial"/>
          <w:color w:val="000000"/>
        </w:rPr>
      </w:pPr>
    </w:p>
    <w:p w14:paraId="28A27711" w14:textId="77777777" w:rsidR="00325F44" w:rsidRDefault="00325F44" w:rsidP="00325F44">
      <w:pPr>
        <w:rPr>
          <w:rStyle w:val="normaltextrun"/>
          <w:rFonts w:cs="Arial"/>
          <w:color w:val="000000"/>
        </w:rPr>
      </w:pPr>
      <w:r w:rsidRPr="5DE41D68">
        <w:rPr>
          <w:rStyle w:val="normaltextrun"/>
          <w:rFonts w:cs="Arial"/>
          <w:color w:val="000000" w:themeColor="text1"/>
        </w:rPr>
        <w:t>Since then, The Technical Managers Group (TMG) have influenced the priorities and workstreams that The Technical Staff Project (2020-2022) was delivering. The Technical Futures Staff survey was delivered wit</w:t>
      </w:r>
      <w:r>
        <w:rPr>
          <w:rStyle w:val="normaltextrun"/>
          <w:rFonts w:cs="Arial"/>
          <w:color w:val="000000" w:themeColor="text1"/>
        </w:rPr>
        <w:t xml:space="preserve">h 491 respondents </w:t>
      </w:r>
      <w:r w:rsidRPr="5DE41D68">
        <w:rPr>
          <w:rStyle w:val="normaltextrun"/>
          <w:rFonts w:cs="Arial"/>
          <w:color w:val="000000" w:themeColor="text1"/>
        </w:rPr>
        <w:t>complet</w:t>
      </w:r>
      <w:r>
        <w:rPr>
          <w:rStyle w:val="normaltextrun"/>
          <w:rFonts w:cs="Arial"/>
          <w:color w:val="000000" w:themeColor="text1"/>
        </w:rPr>
        <w:t>ing the</w:t>
      </w:r>
      <w:r w:rsidRPr="5DE41D68">
        <w:rPr>
          <w:rStyle w:val="normaltextrun"/>
          <w:rFonts w:cs="Arial"/>
          <w:color w:val="000000" w:themeColor="text1"/>
        </w:rPr>
        <w:t xml:space="preserve"> surve</w:t>
      </w:r>
      <w:r>
        <w:rPr>
          <w:rStyle w:val="normaltextrun"/>
          <w:rFonts w:cs="Arial"/>
          <w:color w:val="000000" w:themeColor="text1"/>
        </w:rPr>
        <w:t>y and UCL Organisational development (OD) started to develop a Career Framework for Technical Professionals</w:t>
      </w:r>
      <w:r w:rsidRPr="5DE41D68">
        <w:rPr>
          <w:rStyle w:val="normaltextrun"/>
          <w:rFonts w:cs="Arial"/>
          <w:color w:val="000000" w:themeColor="text1"/>
        </w:rPr>
        <w:t>.</w:t>
      </w:r>
    </w:p>
    <w:p w14:paraId="7BBE84EA" w14:textId="77777777" w:rsidR="00325F44" w:rsidRDefault="00325F44" w:rsidP="00325F44">
      <w:pPr>
        <w:rPr>
          <w:rStyle w:val="normaltextrun"/>
          <w:rFonts w:cs="Arial"/>
          <w:color w:val="000000"/>
        </w:rPr>
      </w:pPr>
    </w:p>
    <w:p w14:paraId="56FDF89F" w14:textId="77777777" w:rsidR="00325F44" w:rsidRPr="00FB712A" w:rsidRDefault="00325F44" w:rsidP="00325F44">
      <w:pPr>
        <w:pStyle w:val="pf0"/>
        <w:rPr>
          <w:rStyle w:val="normaltextrun"/>
          <w:rFonts w:eastAsiaTheme="minorEastAsia"/>
          <w:color w:val="000000" w:themeColor="text1"/>
          <w:lang w:eastAsia="ja-JP"/>
        </w:rPr>
      </w:pPr>
      <w:r w:rsidRPr="00FB712A">
        <w:rPr>
          <w:rStyle w:val="normaltextrun"/>
          <w:rFonts w:ascii="Arial" w:eastAsiaTheme="minorEastAsia" w:hAnsi="Arial" w:cs="Arial"/>
          <w:color w:val="000000" w:themeColor="text1"/>
          <w:lang w:eastAsia="ja-JP"/>
        </w:rPr>
        <w:t xml:space="preserve">The next phase, i.e., Stage 2, consists of two workstreams, transitioning the Technician Commitment work to Business as Usual (BAU), </w:t>
      </w:r>
      <w:r>
        <w:rPr>
          <w:rStyle w:val="normaltextrun"/>
          <w:rFonts w:ascii="Arial" w:eastAsiaTheme="minorEastAsia" w:hAnsi="Arial" w:cs="Arial"/>
          <w:color w:val="000000" w:themeColor="text1"/>
          <w:lang w:eastAsia="ja-JP"/>
        </w:rPr>
        <w:t xml:space="preserve">to be </w:t>
      </w:r>
      <w:r w:rsidRPr="00FB712A">
        <w:rPr>
          <w:rStyle w:val="normaltextrun"/>
          <w:rFonts w:ascii="Arial" w:eastAsiaTheme="minorEastAsia" w:hAnsi="Arial" w:cs="Arial"/>
          <w:color w:val="000000" w:themeColor="text1"/>
          <w:lang w:eastAsia="ja-JP"/>
        </w:rPr>
        <w:t xml:space="preserve">overseen by the Technical Managers Group (TMG), and the development of an institution wide strategy for technical staff and research professionals </w:t>
      </w:r>
      <w:r>
        <w:rPr>
          <w:rStyle w:val="normaltextrun"/>
          <w:rFonts w:ascii="Arial" w:eastAsiaTheme="minorEastAsia" w:hAnsi="Arial" w:cs="Arial"/>
          <w:color w:val="000000" w:themeColor="text1"/>
          <w:lang w:eastAsia="ja-JP"/>
        </w:rPr>
        <w:t xml:space="preserve">to be </w:t>
      </w:r>
      <w:r w:rsidRPr="00FB712A">
        <w:rPr>
          <w:rStyle w:val="normaltextrun"/>
          <w:rFonts w:ascii="Arial" w:eastAsiaTheme="minorEastAsia" w:hAnsi="Arial" w:cs="Arial"/>
          <w:color w:val="000000" w:themeColor="text1"/>
          <w:lang w:eastAsia="ja-JP"/>
        </w:rPr>
        <w:t xml:space="preserve">overseen by </w:t>
      </w:r>
      <w:r>
        <w:rPr>
          <w:rStyle w:val="normaltextrun"/>
          <w:rFonts w:ascii="Arial" w:eastAsiaTheme="minorEastAsia" w:hAnsi="Arial" w:cs="Arial"/>
          <w:color w:val="000000" w:themeColor="text1"/>
          <w:lang w:eastAsia="ja-JP"/>
        </w:rPr>
        <w:t>the institutional technical function lead</w:t>
      </w:r>
      <w:r w:rsidRPr="00FB712A">
        <w:rPr>
          <w:rStyle w:val="normaltextrun"/>
          <w:rFonts w:ascii="Arial" w:eastAsiaTheme="minorEastAsia" w:hAnsi="Arial" w:cs="Arial"/>
          <w:color w:val="000000" w:themeColor="text1"/>
          <w:lang w:eastAsia="ja-JP"/>
        </w:rPr>
        <w:t xml:space="preserve">. </w:t>
      </w:r>
    </w:p>
    <w:p w14:paraId="6837D017" w14:textId="77777777" w:rsidR="00325F44" w:rsidRDefault="00325F44" w:rsidP="00325F44">
      <w:pPr>
        <w:rPr>
          <w:rStyle w:val="normaltextrun"/>
          <w:rFonts w:cs="Arial"/>
          <w:color w:val="000000"/>
        </w:rPr>
      </w:pPr>
      <w:r w:rsidRPr="00481E0A">
        <w:rPr>
          <w:rStyle w:val="normaltextrun"/>
          <w:rFonts w:cs="Arial"/>
          <w:color w:val="000000"/>
        </w:rPr>
        <w:lastRenderedPageBreak/>
        <w:t xml:space="preserve">To preserve our technical skills and maximise this potential, our priority must be to evolve a </w:t>
      </w:r>
      <w:r>
        <w:rPr>
          <w:rStyle w:val="normaltextrun"/>
          <w:rFonts w:cs="Arial"/>
          <w:color w:val="000000"/>
        </w:rPr>
        <w:t>RTTP</w:t>
      </w:r>
      <w:r w:rsidRPr="00481E0A">
        <w:rPr>
          <w:rStyle w:val="normaltextrun"/>
          <w:rFonts w:cs="Arial"/>
          <w:color w:val="000000"/>
        </w:rPr>
        <w:t xml:space="preserve"> staff strategy that delivers to the specific strategic enablers of (1) enabling excellent research and innovation, and (2) recruiting, </w:t>
      </w:r>
      <w:proofErr w:type="gramStart"/>
      <w:r w:rsidRPr="00481E0A">
        <w:rPr>
          <w:rStyle w:val="normaltextrun"/>
          <w:rFonts w:cs="Arial"/>
          <w:color w:val="000000"/>
        </w:rPr>
        <w:t>retaining</w:t>
      </w:r>
      <w:proofErr w:type="gramEnd"/>
      <w:r w:rsidRPr="00481E0A">
        <w:rPr>
          <w:rStyle w:val="normaltextrun"/>
          <w:rFonts w:cs="Arial"/>
          <w:color w:val="000000"/>
        </w:rPr>
        <w:t xml:space="preserve"> and developing diverse talent.</w:t>
      </w:r>
    </w:p>
    <w:p w14:paraId="4036E483" w14:textId="77777777" w:rsidR="00325F44" w:rsidRDefault="00325F44" w:rsidP="00325F44">
      <w:pPr>
        <w:rPr>
          <w:rStyle w:val="normaltextrun"/>
          <w:rFonts w:cs="Arial"/>
          <w:color w:val="000000"/>
        </w:rPr>
      </w:pPr>
      <w:r w:rsidRPr="625DFD81">
        <w:rPr>
          <w:rStyle w:val="normaltextrun"/>
          <w:rFonts w:cs="Arial"/>
          <w:color w:val="000000" w:themeColor="text1"/>
        </w:rPr>
        <w:t xml:space="preserve">Building on the work of the Technician Commitment project, Researcher Concordat and the “Professional Services staff as part of UCL’s Scholarly Community” paper, the next phase is to develop an institution wide strategic plan for RTTPs, overseen by a Working Group representative of the RTTP community, including members from the Technical Managers Group (TMG), Advanced Research Computing (ARC), UCL East, Biological Services and Organisational Development (OD). UCL East and ARC have volunteered </w:t>
      </w:r>
      <w:r w:rsidRPr="625DFD81">
        <w:rPr>
          <w:rStyle w:val="normaltextrun"/>
          <w:rFonts w:cs="Arial"/>
          <w:strike/>
          <w:color w:val="000000" w:themeColor="text1"/>
        </w:rPr>
        <w:t>to be used</w:t>
      </w:r>
      <w:r w:rsidRPr="625DFD81">
        <w:rPr>
          <w:rStyle w:val="normaltextrun"/>
          <w:rFonts w:cs="Arial"/>
          <w:color w:val="000000" w:themeColor="text1"/>
        </w:rPr>
        <w:t xml:space="preserve"> to pilot any schemes for teaching and research professionals respectively. Technical Professional schemes will also be piloted in areas highlighted as at high-risk for low retention and recruitment during phase 2.</w:t>
      </w:r>
    </w:p>
    <w:p w14:paraId="14E94D7C" w14:textId="77777777" w:rsidR="00325F44" w:rsidRDefault="00325F44" w:rsidP="00325F44">
      <w:pPr>
        <w:rPr>
          <w:rStyle w:val="normaltextrun"/>
          <w:rFonts w:cs="Arial"/>
          <w:color w:val="000000"/>
        </w:rPr>
      </w:pPr>
      <w:r w:rsidRPr="00E24AD4">
        <w:rPr>
          <w:rStyle w:val="normaltextrun"/>
          <w:rFonts w:cs="Arial"/>
          <w:color w:val="000000"/>
        </w:rPr>
        <w:t xml:space="preserve">Biological Services will provide project management and project support funded for one year by the VP (Operations) Office and will continue to support the project into BAU once this piece of work concludes.  </w:t>
      </w:r>
    </w:p>
    <w:p w14:paraId="554E43FF" w14:textId="77777777" w:rsidR="00325F44" w:rsidRDefault="00325F44" w:rsidP="00325F44">
      <w:pPr>
        <w:rPr>
          <w:rStyle w:val="normaltextrun"/>
          <w:rFonts w:cs="Arial"/>
          <w:color w:val="000000"/>
        </w:rPr>
      </w:pPr>
    </w:p>
    <w:p w14:paraId="36935F16" w14:textId="77777777" w:rsidR="00325F44" w:rsidRPr="008C210F" w:rsidRDefault="00325F44" w:rsidP="00325F44">
      <w:pPr>
        <w:pStyle w:val="Heading1"/>
        <w:rPr>
          <w:rStyle w:val="normaltextrun"/>
          <w:rFonts w:cs="Arial"/>
          <w:bCs/>
          <w:color w:val="000000"/>
        </w:rPr>
      </w:pPr>
      <w:r w:rsidRPr="008C210F">
        <w:rPr>
          <w:rStyle w:val="normaltextrun"/>
          <w:rFonts w:cs="Arial"/>
          <w:bCs/>
          <w:color w:val="000000"/>
        </w:rPr>
        <w:t xml:space="preserve">Building up from the work done in Phase </w:t>
      </w:r>
      <w:r>
        <w:rPr>
          <w:rStyle w:val="normaltextrun"/>
          <w:rFonts w:cs="Arial"/>
          <w:bCs/>
          <w:color w:val="000000"/>
        </w:rPr>
        <w:t>2</w:t>
      </w:r>
      <w:r w:rsidRPr="008C210F">
        <w:rPr>
          <w:rStyle w:val="normaltextrun"/>
          <w:rFonts w:cs="Arial"/>
          <w:bCs/>
          <w:color w:val="000000"/>
        </w:rPr>
        <w:t xml:space="preserve"> and looking into starting Phase 3</w:t>
      </w:r>
    </w:p>
    <w:p w14:paraId="4EB3937A" w14:textId="77777777" w:rsidR="00325F44" w:rsidRDefault="00325F44" w:rsidP="00325F44">
      <w:pPr>
        <w:rPr>
          <w:rStyle w:val="normaltextrun"/>
          <w:rFonts w:cs="Arial"/>
          <w:color w:val="000000"/>
        </w:rPr>
      </w:pPr>
    </w:p>
    <w:p w14:paraId="5A2D89E8" w14:textId="77777777" w:rsidR="00325F44" w:rsidRDefault="00325F44" w:rsidP="00325F44">
      <w:pPr>
        <w:rPr>
          <w:rStyle w:val="normaltextrun"/>
          <w:rFonts w:cs="Arial"/>
          <w:color w:val="000000"/>
        </w:rPr>
      </w:pPr>
      <w:r w:rsidRPr="2DD14C38">
        <w:rPr>
          <w:rStyle w:val="normaltextrun"/>
          <w:rFonts w:cs="Arial"/>
          <w:color w:val="000000" w:themeColor="text1"/>
        </w:rPr>
        <w:t xml:space="preserve">In </w:t>
      </w:r>
      <w:proofErr w:type="gramStart"/>
      <w:r w:rsidRPr="2DD14C38">
        <w:rPr>
          <w:rStyle w:val="normaltextrun"/>
          <w:rFonts w:cs="Arial"/>
          <w:color w:val="000000" w:themeColor="text1"/>
        </w:rPr>
        <w:t>January,</w:t>
      </w:r>
      <w:proofErr w:type="gramEnd"/>
      <w:r w:rsidRPr="2DD14C38">
        <w:rPr>
          <w:rStyle w:val="normaltextrun"/>
          <w:rFonts w:cs="Arial"/>
          <w:color w:val="000000" w:themeColor="text1"/>
        </w:rPr>
        <w:t xml:space="preserve"> 2023, a Technical Staff Programme Manager secondment post was created</w:t>
      </w:r>
      <w:r>
        <w:rPr>
          <w:rStyle w:val="normaltextrun"/>
          <w:rFonts w:cs="Arial"/>
          <w:color w:val="000000" w:themeColor="text1"/>
        </w:rPr>
        <w:t xml:space="preserve"> </w:t>
      </w:r>
      <w:r w:rsidRPr="00CF3542">
        <w:rPr>
          <w:rStyle w:val="normaltextrun"/>
          <w:rFonts w:cs="Arial"/>
          <w:color w:val="000000" w:themeColor="text1"/>
        </w:rPr>
        <w:t>to lead the actions related to UCL's Action plan for the Technician Commitment with the help of the TMG.</w:t>
      </w:r>
      <w:r>
        <w:rPr>
          <w:rStyle w:val="cf01"/>
        </w:rPr>
        <w:t xml:space="preserve"> </w:t>
      </w:r>
      <w:r w:rsidRPr="2DD14C38">
        <w:rPr>
          <w:rStyle w:val="normaltextrun"/>
          <w:rFonts w:cs="Arial"/>
          <w:color w:val="000000" w:themeColor="text1"/>
        </w:rPr>
        <w:t>Consequently, the ‘Technical Skills Development Hub (TSDH)’ was created, and with the end of the Programme Manager Secondment, the TSDH will lead the Technical Staff initiatives</w:t>
      </w:r>
      <w:r>
        <w:rPr>
          <w:rStyle w:val="normaltextrun"/>
          <w:rFonts w:cs="Arial"/>
          <w:color w:val="000000" w:themeColor="text1"/>
        </w:rPr>
        <w:t xml:space="preserve">, </w:t>
      </w:r>
      <w:r w:rsidRPr="2DD14C38">
        <w:rPr>
          <w:rStyle w:val="normaltextrun"/>
          <w:rFonts w:cs="Arial"/>
          <w:color w:val="000000" w:themeColor="text1"/>
        </w:rPr>
        <w:t xml:space="preserve">connecting the community with internal and external stakeholders with </w:t>
      </w:r>
      <w:r w:rsidRPr="2DD14C38">
        <w:rPr>
          <w:rFonts w:cs="Arial"/>
          <w:color w:val="000000" w:themeColor="text1"/>
        </w:rPr>
        <w:t>visibility, recognition, career progression and sustainability at the core of the Hub’s initiatives.</w:t>
      </w:r>
    </w:p>
    <w:p w14:paraId="20107A46" w14:textId="77777777" w:rsidR="00325F44" w:rsidRDefault="00325F44" w:rsidP="00325F44">
      <w:pPr>
        <w:rPr>
          <w:rStyle w:val="normaltextrun"/>
          <w:rFonts w:cs="Arial"/>
          <w:color w:val="000000"/>
        </w:rPr>
      </w:pPr>
    </w:p>
    <w:p w14:paraId="332FA5F9" w14:textId="77777777" w:rsidR="00325F44" w:rsidRPr="00BF6F76" w:rsidRDefault="00325F44" w:rsidP="00325F44">
      <w:pPr>
        <w:rPr>
          <w:rStyle w:val="normaltextrun"/>
          <w:rFonts w:cs="Arial"/>
          <w:b/>
          <w:bCs/>
          <w:color w:val="000000"/>
        </w:rPr>
      </w:pPr>
      <w:r w:rsidRPr="00BF6F76">
        <w:rPr>
          <w:rStyle w:val="normaltextrun"/>
          <w:rFonts w:cs="Arial"/>
          <w:b/>
          <w:bCs/>
          <w:color w:val="000000"/>
        </w:rPr>
        <w:t>Strategic Priorities</w:t>
      </w:r>
    </w:p>
    <w:p w14:paraId="45FF136E" w14:textId="77777777" w:rsidR="00325F44" w:rsidRDefault="00325F44" w:rsidP="00325F44">
      <w:pPr>
        <w:rPr>
          <w:rStyle w:val="normaltextrun"/>
          <w:rFonts w:cs="Arial"/>
          <w:color w:val="000000"/>
        </w:rPr>
      </w:pPr>
    </w:p>
    <w:p w14:paraId="659931DC" w14:textId="77777777" w:rsidR="00325F44" w:rsidRPr="00BF6F76" w:rsidRDefault="00325F44" w:rsidP="00325F44">
      <w:pPr>
        <w:numPr>
          <w:ilvl w:val="0"/>
          <w:numId w:val="3"/>
        </w:numPr>
        <w:rPr>
          <w:rFonts w:cs="Arial"/>
          <w:color w:val="000000"/>
        </w:rPr>
      </w:pPr>
      <w:r w:rsidRPr="00BF6F76">
        <w:rPr>
          <w:rFonts w:cs="Arial"/>
          <w:color w:val="000000"/>
        </w:rPr>
        <w:t>Provide an organisational ‘home’ for Research and Teaching, Technical Professionals at UCL</w:t>
      </w:r>
    </w:p>
    <w:p w14:paraId="411AA907" w14:textId="77777777" w:rsidR="00325F44" w:rsidRPr="00BF6F76" w:rsidRDefault="00325F44" w:rsidP="00325F44">
      <w:pPr>
        <w:numPr>
          <w:ilvl w:val="0"/>
          <w:numId w:val="3"/>
        </w:numPr>
        <w:rPr>
          <w:rFonts w:cs="Arial"/>
          <w:color w:val="000000"/>
        </w:rPr>
      </w:pPr>
      <w:r w:rsidRPr="00BF6F76">
        <w:rPr>
          <w:rFonts w:cs="Arial"/>
          <w:color w:val="000000"/>
        </w:rPr>
        <w:t>Attract and retain the very best technical talent required to fulfil our academic mission.</w:t>
      </w:r>
    </w:p>
    <w:p w14:paraId="36D33ECC" w14:textId="77777777" w:rsidR="00325F44" w:rsidRPr="00BF6F76" w:rsidRDefault="00325F44" w:rsidP="00325F44">
      <w:pPr>
        <w:numPr>
          <w:ilvl w:val="0"/>
          <w:numId w:val="3"/>
        </w:numPr>
        <w:rPr>
          <w:rFonts w:cs="Arial"/>
          <w:color w:val="000000"/>
        </w:rPr>
      </w:pPr>
      <w:r w:rsidRPr="00BF6F76">
        <w:rPr>
          <w:rFonts w:cs="Arial"/>
          <w:color w:val="000000"/>
        </w:rPr>
        <w:t>Sustainable and fulfilling technical careers.</w:t>
      </w:r>
    </w:p>
    <w:p w14:paraId="611CD600" w14:textId="77777777" w:rsidR="00325F44" w:rsidRPr="00BF6F76" w:rsidRDefault="00325F44" w:rsidP="00325F44">
      <w:pPr>
        <w:numPr>
          <w:ilvl w:val="0"/>
          <w:numId w:val="3"/>
        </w:numPr>
        <w:rPr>
          <w:rFonts w:cs="Arial"/>
          <w:color w:val="000000"/>
        </w:rPr>
      </w:pPr>
      <w:r w:rsidRPr="00BF6F76">
        <w:rPr>
          <w:rFonts w:cs="Arial"/>
          <w:color w:val="000000"/>
        </w:rPr>
        <w:t>Improved research, innovation, and teaching outcomes</w:t>
      </w:r>
      <w:r>
        <w:rPr>
          <w:rFonts w:cs="Arial"/>
          <w:color w:val="000000"/>
        </w:rPr>
        <w:t>.</w:t>
      </w:r>
    </w:p>
    <w:p w14:paraId="2A4A9930" w14:textId="77777777" w:rsidR="00325F44" w:rsidRPr="00912FCC" w:rsidRDefault="00325F44" w:rsidP="00325F44">
      <w:pPr>
        <w:numPr>
          <w:ilvl w:val="0"/>
          <w:numId w:val="3"/>
        </w:numPr>
        <w:rPr>
          <w:rFonts w:cs="Arial"/>
          <w:color w:val="000000"/>
        </w:rPr>
      </w:pPr>
      <w:r w:rsidRPr="40F7FCC8">
        <w:rPr>
          <w:rFonts w:cs="Arial"/>
          <w:color w:val="000000" w:themeColor="text1"/>
        </w:rPr>
        <w:t>High quality service delivery.</w:t>
      </w:r>
    </w:p>
    <w:p w14:paraId="0AE3A274" w14:textId="77777777" w:rsidR="00325F44" w:rsidRPr="00BF6F76" w:rsidRDefault="00325F44" w:rsidP="00325F44">
      <w:pPr>
        <w:numPr>
          <w:ilvl w:val="0"/>
          <w:numId w:val="3"/>
        </w:numPr>
        <w:rPr>
          <w:rFonts w:cs="Arial"/>
          <w:color w:val="000000"/>
        </w:rPr>
      </w:pPr>
      <w:r>
        <w:rPr>
          <w:rFonts w:cs="Arial"/>
          <w:color w:val="000000" w:themeColor="text1"/>
        </w:rPr>
        <w:t>All laboratories practicing sustainable science.</w:t>
      </w:r>
    </w:p>
    <w:p w14:paraId="59DBF1B7" w14:textId="77777777" w:rsidR="00325F44" w:rsidRDefault="00325F44" w:rsidP="00325F44">
      <w:pPr>
        <w:rPr>
          <w:b/>
          <w:bCs/>
        </w:rPr>
      </w:pPr>
    </w:p>
    <w:p w14:paraId="65D4CE72" w14:textId="77777777" w:rsidR="00325F44" w:rsidRPr="00132817" w:rsidRDefault="00325F44" w:rsidP="00325F44">
      <w:pPr>
        <w:rPr>
          <w:b/>
          <w:bCs/>
        </w:rPr>
      </w:pPr>
      <w:r w:rsidRPr="00132817">
        <w:rPr>
          <w:b/>
          <w:bCs/>
        </w:rPr>
        <w:lastRenderedPageBreak/>
        <w:t>Key Stakeholders (this is not an exhaustive list)</w:t>
      </w:r>
    </w:p>
    <w:p w14:paraId="3000EADE" w14:textId="77777777" w:rsidR="00325F44" w:rsidRDefault="00325F44" w:rsidP="00325F44">
      <w:pPr>
        <w:rPr>
          <w:rStyle w:val="normaltextrun"/>
          <w:rFonts w:cs="Arial"/>
          <w:color w:val="000000"/>
        </w:rPr>
      </w:pPr>
    </w:p>
    <w:p w14:paraId="2E3F1F5D" w14:textId="77777777" w:rsidR="00325F44" w:rsidRPr="0037220A" w:rsidRDefault="00325F44" w:rsidP="00325F44">
      <w:pPr>
        <w:ind w:left="360"/>
        <w:rPr>
          <w:rStyle w:val="normaltextrun"/>
          <w:rFonts w:cs="Arial"/>
          <w:b/>
          <w:bCs/>
          <w:color w:val="000000"/>
        </w:rPr>
      </w:pPr>
      <w:r w:rsidRPr="0037220A">
        <w:rPr>
          <w:rStyle w:val="normaltextrun"/>
          <w:rFonts w:cs="Arial"/>
          <w:b/>
          <w:bCs/>
          <w:color w:val="000000"/>
        </w:rPr>
        <w:t>Internal to UCL</w:t>
      </w:r>
    </w:p>
    <w:p w14:paraId="46A30F06" w14:textId="77777777" w:rsidR="00325F44" w:rsidRPr="000207FC" w:rsidRDefault="00325F44" w:rsidP="00325F44">
      <w:pPr>
        <w:numPr>
          <w:ilvl w:val="0"/>
          <w:numId w:val="4"/>
        </w:numPr>
        <w:rPr>
          <w:rFonts w:cs="Arial"/>
          <w:color w:val="000000"/>
        </w:rPr>
      </w:pPr>
      <w:r w:rsidRPr="000207FC">
        <w:rPr>
          <w:rFonts w:cs="Arial"/>
          <w:color w:val="000000"/>
        </w:rPr>
        <w:t>Technical Managers Group (TMG)</w:t>
      </w:r>
    </w:p>
    <w:p w14:paraId="788423A8" w14:textId="77777777" w:rsidR="00325F44" w:rsidRPr="00987DE1" w:rsidRDefault="00325F44" w:rsidP="00325F44">
      <w:pPr>
        <w:numPr>
          <w:ilvl w:val="0"/>
          <w:numId w:val="4"/>
        </w:numPr>
        <w:rPr>
          <w:rFonts w:cs="Arial"/>
          <w:color w:val="000000"/>
        </w:rPr>
      </w:pPr>
      <w:r w:rsidRPr="00987DE1">
        <w:rPr>
          <w:rFonts w:cs="Arial"/>
          <w:color w:val="000000"/>
        </w:rPr>
        <w:t>Faculty Technical Lead/Head of Technical Services</w:t>
      </w:r>
    </w:p>
    <w:p w14:paraId="0058D301" w14:textId="77777777" w:rsidR="00325F44" w:rsidRPr="00987DE1" w:rsidRDefault="00325F44" w:rsidP="00325F44">
      <w:pPr>
        <w:numPr>
          <w:ilvl w:val="0"/>
          <w:numId w:val="4"/>
        </w:numPr>
        <w:rPr>
          <w:rFonts w:cs="Arial"/>
          <w:color w:val="000000"/>
        </w:rPr>
      </w:pPr>
      <w:r w:rsidRPr="00987DE1">
        <w:rPr>
          <w:rFonts w:cs="Arial"/>
          <w:color w:val="000000"/>
        </w:rPr>
        <w:t>ARC (Advanced Research Computing Centre)</w:t>
      </w:r>
    </w:p>
    <w:p w14:paraId="6AA38149" w14:textId="77777777" w:rsidR="00325F44" w:rsidRPr="00987DE1" w:rsidRDefault="00325F44" w:rsidP="00325F44">
      <w:pPr>
        <w:numPr>
          <w:ilvl w:val="0"/>
          <w:numId w:val="4"/>
        </w:numPr>
        <w:rPr>
          <w:rFonts w:cs="Arial"/>
          <w:color w:val="000000"/>
        </w:rPr>
      </w:pPr>
      <w:r w:rsidRPr="00987DE1">
        <w:rPr>
          <w:rFonts w:cs="Arial"/>
          <w:color w:val="000000"/>
        </w:rPr>
        <w:t>ISD (Information Services Division)</w:t>
      </w:r>
    </w:p>
    <w:p w14:paraId="1DA3C901" w14:textId="77777777" w:rsidR="00325F44" w:rsidRPr="00987DE1" w:rsidRDefault="00325F44" w:rsidP="00325F44">
      <w:pPr>
        <w:numPr>
          <w:ilvl w:val="0"/>
          <w:numId w:val="4"/>
        </w:numPr>
        <w:rPr>
          <w:rFonts w:cs="Arial"/>
          <w:color w:val="000000"/>
        </w:rPr>
      </w:pPr>
      <w:r w:rsidRPr="00987DE1">
        <w:rPr>
          <w:rFonts w:cs="Arial"/>
          <w:color w:val="000000"/>
        </w:rPr>
        <w:t>UCL Research Culture</w:t>
      </w:r>
    </w:p>
    <w:p w14:paraId="2F62FA6A" w14:textId="77777777" w:rsidR="00325F44" w:rsidRDefault="00325F44" w:rsidP="00325F44">
      <w:pPr>
        <w:numPr>
          <w:ilvl w:val="0"/>
          <w:numId w:val="4"/>
        </w:numPr>
        <w:rPr>
          <w:rFonts w:cs="Arial"/>
          <w:color w:val="000000"/>
        </w:rPr>
      </w:pPr>
      <w:r w:rsidRPr="00987DE1">
        <w:rPr>
          <w:rFonts w:cs="Arial"/>
          <w:color w:val="000000"/>
        </w:rPr>
        <w:t>Faculties’ Directors of Operations</w:t>
      </w:r>
      <w:r>
        <w:rPr>
          <w:rFonts w:cs="Arial"/>
          <w:color w:val="000000"/>
        </w:rPr>
        <w:t xml:space="preserve"> (</w:t>
      </w:r>
      <w:proofErr w:type="spellStart"/>
      <w:r>
        <w:rPr>
          <w:rFonts w:cs="Arial"/>
          <w:color w:val="000000"/>
        </w:rPr>
        <w:t>DoOs</w:t>
      </w:r>
      <w:proofErr w:type="spellEnd"/>
      <w:r>
        <w:rPr>
          <w:rFonts w:cs="Arial"/>
          <w:color w:val="000000"/>
        </w:rPr>
        <w:t>)</w:t>
      </w:r>
    </w:p>
    <w:p w14:paraId="032D8030" w14:textId="77777777" w:rsidR="00325F44" w:rsidRPr="00987DE1" w:rsidRDefault="00325F44" w:rsidP="00325F44">
      <w:pPr>
        <w:numPr>
          <w:ilvl w:val="0"/>
          <w:numId w:val="4"/>
        </w:numPr>
        <w:rPr>
          <w:rFonts w:cs="Arial"/>
          <w:color w:val="000000"/>
        </w:rPr>
      </w:pPr>
      <w:r>
        <w:rPr>
          <w:rFonts w:cs="Arial"/>
          <w:color w:val="000000"/>
        </w:rPr>
        <w:t>UCL academic’s community</w:t>
      </w:r>
    </w:p>
    <w:p w14:paraId="039B7673" w14:textId="77777777" w:rsidR="00325F44" w:rsidRPr="00987DE1" w:rsidRDefault="00325F44" w:rsidP="00325F44">
      <w:pPr>
        <w:numPr>
          <w:ilvl w:val="0"/>
          <w:numId w:val="4"/>
        </w:numPr>
        <w:rPr>
          <w:rFonts w:cs="Arial"/>
          <w:color w:val="000000"/>
        </w:rPr>
      </w:pPr>
      <w:r w:rsidRPr="00987DE1">
        <w:rPr>
          <w:rFonts w:cs="Arial"/>
          <w:color w:val="000000"/>
        </w:rPr>
        <w:t>Technical Community</w:t>
      </w:r>
    </w:p>
    <w:p w14:paraId="7E1BD86B" w14:textId="77777777" w:rsidR="00325F44" w:rsidRPr="00987DE1" w:rsidRDefault="00325F44" w:rsidP="00325F44">
      <w:pPr>
        <w:numPr>
          <w:ilvl w:val="0"/>
          <w:numId w:val="4"/>
        </w:numPr>
        <w:rPr>
          <w:rFonts w:cs="Arial"/>
          <w:color w:val="000000"/>
        </w:rPr>
      </w:pPr>
      <w:r w:rsidRPr="00987DE1">
        <w:rPr>
          <w:rFonts w:cs="Arial"/>
          <w:color w:val="000000"/>
        </w:rPr>
        <w:t>UCL Organisational Development</w:t>
      </w:r>
    </w:p>
    <w:p w14:paraId="0D4A6C03" w14:textId="77777777" w:rsidR="00325F44" w:rsidRDefault="00325F44" w:rsidP="00325F44">
      <w:pPr>
        <w:rPr>
          <w:rStyle w:val="normaltextrun"/>
          <w:rFonts w:cs="Arial"/>
          <w:color w:val="000000"/>
        </w:rPr>
      </w:pPr>
    </w:p>
    <w:p w14:paraId="7B1E700D" w14:textId="77777777" w:rsidR="00325F44" w:rsidRPr="0037220A" w:rsidRDefault="00325F44" w:rsidP="00325F44">
      <w:pPr>
        <w:ind w:left="360"/>
        <w:rPr>
          <w:rStyle w:val="normaltextrun"/>
          <w:rFonts w:cs="Arial"/>
          <w:b/>
          <w:bCs/>
          <w:color w:val="000000"/>
        </w:rPr>
      </w:pPr>
      <w:r>
        <w:rPr>
          <w:rStyle w:val="normaltextrun"/>
          <w:rFonts w:cs="Arial"/>
          <w:b/>
          <w:bCs/>
          <w:color w:val="000000"/>
        </w:rPr>
        <w:t>Ex</w:t>
      </w:r>
      <w:r w:rsidRPr="0037220A">
        <w:rPr>
          <w:rStyle w:val="normaltextrun"/>
          <w:rFonts w:cs="Arial"/>
          <w:b/>
          <w:bCs/>
          <w:color w:val="000000"/>
        </w:rPr>
        <w:t>ternal to UCL</w:t>
      </w:r>
    </w:p>
    <w:p w14:paraId="59BD8F11" w14:textId="77777777" w:rsidR="00325F44" w:rsidRPr="00542C87" w:rsidRDefault="00325F44" w:rsidP="00325F44">
      <w:pPr>
        <w:numPr>
          <w:ilvl w:val="0"/>
          <w:numId w:val="5"/>
        </w:numPr>
        <w:rPr>
          <w:rFonts w:cs="Arial"/>
          <w:color w:val="000000"/>
        </w:rPr>
      </w:pPr>
      <w:r w:rsidRPr="00542C87">
        <w:rPr>
          <w:rFonts w:cs="Arial"/>
          <w:color w:val="000000"/>
        </w:rPr>
        <w:t>The UK Institute for Technical Skills and Strategy (ITSS)</w:t>
      </w:r>
      <w:r>
        <w:rPr>
          <w:rFonts w:cs="Arial"/>
          <w:color w:val="000000"/>
        </w:rPr>
        <w:t>.</w:t>
      </w:r>
    </w:p>
    <w:p w14:paraId="58267231" w14:textId="77777777" w:rsidR="00325F44" w:rsidRPr="00542C87" w:rsidRDefault="00325F44" w:rsidP="00325F44">
      <w:pPr>
        <w:numPr>
          <w:ilvl w:val="0"/>
          <w:numId w:val="5"/>
        </w:numPr>
        <w:rPr>
          <w:rFonts w:cs="Arial"/>
          <w:color w:val="000000"/>
        </w:rPr>
      </w:pPr>
      <w:r w:rsidRPr="00542C87">
        <w:rPr>
          <w:rFonts w:cs="Arial"/>
          <w:color w:val="000000"/>
        </w:rPr>
        <w:t>National Technician Development Centre (NTDC)</w:t>
      </w:r>
      <w:r>
        <w:rPr>
          <w:rFonts w:cs="Arial"/>
          <w:color w:val="000000"/>
        </w:rPr>
        <w:t>.</w:t>
      </w:r>
    </w:p>
    <w:p w14:paraId="55F794AC" w14:textId="77777777" w:rsidR="00325F44" w:rsidRPr="00542C87" w:rsidRDefault="00325F44" w:rsidP="00325F44">
      <w:pPr>
        <w:numPr>
          <w:ilvl w:val="0"/>
          <w:numId w:val="5"/>
        </w:numPr>
        <w:rPr>
          <w:rFonts w:cs="Arial"/>
          <w:color w:val="000000"/>
        </w:rPr>
      </w:pPr>
      <w:r w:rsidRPr="00542C87">
        <w:rPr>
          <w:rFonts w:cs="Arial"/>
          <w:color w:val="000000"/>
        </w:rPr>
        <w:t>Higher Education and Technician Educational Development (HEaTED)</w:t>
      </w:r>
      <w:r>
        <w:rPr>
          <w:rFonts w:cs="Arial"/>
          <w:color w:val="000000"/>
        </w:rPr>
        <w:t>.</w:t>
      </w:r>
    </w:p>
    <w:p w14:paraId="160F6048" w14:textId="77777777" w:rsidR="00325F44" w:rsidRDefault="00325F44" w:rsidP="00325F44">
      <w:pPr>
        <w:numPr>
          <w:ilvl w:val="0"/>
          <w:numId w:val="5"/>
        </w:numPr>
        <w:rPr>
          <w:rFonts w:cs="Arial"/>
          <w:color w:val="000000"/>
        </w:rPr>
      </w:pPr>
      <w:r w:rsidRPr="00542C87">
        <w:rPr>
          <w:rFonts w:cs="Arial"/>
          <w:color w:val="000000"/>
        </w:rPr>
        <w:t>Science Council</w:t>
      </w:r>
      <w:r>
        <w:rPr>
          <w:rFonts w:cs="Arial"/>
          <w:color w:val="000000"/>
        </w:rPr>
        <w:t>.</w:t>
      </w:r>
    </w:p>
    <w:p w14:paraId="66ED5CCE" w14:textId="77777777" w:rsidR="00325F44" w:rsidRDefault="00325F44" w:rsidP="00325F44">
      <w:pPr>
        <w:numPr>
          <w:ilvl w:val="0"/>
          <w:numId w:val="5"/>
        </w:numPr>
        <w:rPr>
          <w:rFonts w:cs="Arial"/>
          <w:color w:val="000000"/>
        </w:rPr>
      </w:pPr>
      <w:r>
        <w:rPr>
          <w:rFonts w:cs="Arial"/>
          <w:color w:val="000000"/>
        </w:rPr>
        <w:t>Engineering Council.</w:t>
      </w:r>
    </w:p>
    <w:p w14:paraId="3B0E42F2" w14:textId="77777777" w:rsidR="00325F44" w:rsidRPr="00B3414D" w:rsidRDefault="00325F44" w:rsidP="00325F44">
      <w:pPr>
        <w:numPr>
          <w:ilvl w:val="0"/>
          <w:numId w:val="5"/>
        </w:numPr>
        <w:rPr>
          <w:rFonts w:cs="Arial"/>
          <w:color w:val="000000" w:themeColor="text1"/>
        </w:rPr>
      </w:pPr>
      <w:r w:rsidRPr="72C83EB6">
        <w:rPr>
          <w:rFonts w:cs="Arial"/>
          <w:color w:val="000000" w:themeColor="text1"/>
        </w:rPr>
        <w:t>Midlands Innovation Talent (MI Talent).</w:t>
      </w:r>
    </w:p>
    <w:p w14:paraId="2D2B1E46" w14:textId="77777777" w:rsidR="00325F44" w:rsidRPr="00B3414D" w:rsidRDefault="00325F44" w:rsidP="00325F44">
      <w:pPr>
        <w:numPr>
          <w:ilvl w:val="0"/>
          <w:numId w:val="5"/>
        </w:numPr>
      </w:pPr>
      <w:r w:rsidRPr="00B3414D">
        <w:rPr>
          <w:rFonts w:cs="Arial"/>
          <w:color w:val="000000"/>
        </w:rPr>
        <w:t>Gatsby foundation.</w:t>
      </w:r>
    </w:p>
    <w:p w14:paraId="6A352D88" w14:textId="77777777" w:rsidR="00325F44" w:rsidRPr="00B3414D" w:rsidRDefault="00325F44" w:rsidP="00325F44">
      <w:pPr>
        <w:numPr>
          <w:ilvl w:val="0"/>
          <w:numId w:val="5"/>
        </w:numPr>
      </w:pPr>
      <w:r w:rsidRPr="00B3414D">
        <w:rPr>
          <w:rFonts w:cs="Arial"/>
          <w:color w:val="000000"/>
        </w:rPr>
        <w:t>UK Research and Innovation (UKRI).</w:t>
      </w:r>
    </w:p>
    <w:p w14:paraId="1520ACE6" w14:textId="77777777" w:rsidR="00325F44" w:rsidRPr="00B3414D" w:rsidRDefault="00325F44" w:rsidP="00325F44">
      <w:pPr>
        <w:numPr>
          <w:ilvl w:val="0"/>
          <w:numId w:val="5"/>
        </w:numPr>
        <w:rPr>
          <w:rFonts w:cs="Arial"/>
          <w:color w:val="000000" w:themeColor="text1"/>
        </w:rPr>
      </w:pPr>
      <w:r w:rsidRPr="72C83EB6">
        <w:rPr>
          <w:rFonts w:cs="Arial"/>
          <w:color w:val="000000" w:themeColor="text1"/>
        </w:rPr>
        <w:t>Office for Students (</w:t>
      </w:r>
      <w:proofErr w:type="spellStart"/>
      <w:r w:rsidRPr="72C83EB6">
        <w:rPr>
          <w:rFonts w:cs="Arial"/>
          <w:color w:val="000000" w:themeColor="text1"/>
        </w:rPr>
        <w:t>OfS</w:t>
      </w:r>
      <w:proofErr w:type="spellEnd"/>
      <w:r w:rsidRPr="72C83EB6">
        <w:rPr>
          <w:rFonts w:cs="Arial"/>
          <w:color w:val="000000" w:themeColor="text1"/>
        </w:rPr>
        <w:t>).</w:t>
      </w:r>
    </w:p>
    <w:p w14:paraId="2195BC03" w14:textId="77777777" w:rsidR="00325F44" w:rsidRPr="00542C87" w:rsidRDefault="00325F44" w:rsidP="00325F44">
      <w:pPr>
        <w:numPr>
          <w:ilvl w:val="0"/>
          <w:numId w:val="5"/>
        </w:numPr>
        <w:rPr>
          <w:rFonts w:cs="Arial"/>
          <w:color w:val="000000"/>
        </w:rPr>
      </w:pPr>
      <w:r w:rsidRPr="00B3414D">
        <w:rPr>
          <w:rFonts w:cs="Arial"/>
          <w:color w:val="000000"/>
        </w:rPr>
        <w:t>Institute of Apprenticeships &amp; Technical Education</w:t>
      </w:r>
    </w:p>
    <w:p w14:paraId="085A8B5F" w14:textId="77777777" w:rsidR="00325F44" w:rsidRDefault="00325F44" w:rsidP="00325F44">
      <w:pPr>
        <w:numPr>
          <w:ilvl w:val="0"/>
          <w:numId w:val="5"/>
        </w:numPr>
        <w:rPr>
          <w:rFonts w:cs="Arial"/>
          <w:color w:val="000000"/>
        </w:rPr>
      </w:pPr>
      <w:r w:rsidRPr="00542C87">
        <w:rPr>
          <w:rFonts w:cs="Arial"/>
          <w:color w:val="000000"/>
        </w:rPr>
        <w:t>Institute of Science and Technology (IST)</w:t>
      </w:r>
      <w:r>
        <w:rPr>
          <w:rFonts w:cs="Arial"/>
          <w:color w:val="000000"/>
        </w:rPr>
        <w:t>.</w:t>
      </w:r>
    </w:p>
    <w:p w14:paraId="14A16B8B" w14:textId="77777777" w:rsidR="00325F44" w:rsidRPr="00542C87" w:rsidRDefault="00325F44" w:rsidP="00325F44">
      <w:pPr>
        <w:numPr>
          <w:ilvl w:val="0"/>
          <w:numId w:val="5"/>
        </w:numPr>
        <w:rPr>
          <w:rFonts w:cs="Arial"/>
          <w:color w:val="000000"/>
        </w:rPr>
      </w:pPr>
      <w:r>
        <w:rPr>
          <w:rFonts w:cs="Arial"/>
          <w:color w:val="000000"/>
        </w:rPr>
        <w:t>The Institution of Engineering and Technology (IET).</w:t>
      </w:r>
    </w:p>
    <w:p w14:paraId="0FA77789" w14:textId="77777777" w:rsidR="00325F44" w:rsidRPr="00542C87" w:rsidRDefault="00325F44" w:rsidP="00325F44">
      <w:pPr>
        <w:numPr>
          <w:ilvl w:val="0"/>
          <w:numId w:val="5"/>
        </w:numPr>
        <w:rPr>
          <w:rFonts w:cs="Arial"/>
          <w:color w:val="000000"/>
        </w:rPr>
      </w:pPr>
      <w:r w:rsidRPr="00542C87">
        <w:rPr>
          <w:rFonts w:cs="Arial"/>
          <w:color w:val="000000"/>
        </w:rPr>
        <w:t>London and SE TCI Leads group.</w:t>
      </w:r>
    </w:p>
    <w:p w14:paraId="26A1738D" w14:textId="77777777" w:rsidR="00325F44" w:rsidRDefault="00325F44" w:rsidP="00325F44">
      <w:pPr>
        <w:numPr>
          <w:ilvl w:val="0"/>
          <w:numId w:val="5"/>
        </w:numPr>
        <w:rPr>
          <w:rFonts w:cs="Arial"/>
          <w:color w:val="000000"/>
        </w:rPr>
      </w:pPr>
      <w:r w:rsidRPr="00542C87">
        <w:rPr>
          <w:rFonts w:cs="Arial"/>
          <w:color w:val="000000"/>
        </w:rPr>
        <w:t>UK Technical Specialist Network (TSN)</w:t>
      </w:r>
      <w:r>
        <w:rPr>
          <w:rFonts w:cs="Arial"/>
          <w:color w:val="000000"/>
        </w:rPr>
        <w:t>.</w:t>
      </w:r>
    </w:p>
    <w:p w14:paraId="1ADAA538" w14:textId="77777777" w:rsidR="00325F44" w:rsidRPr="00542C87" w:rsidRDefault="00325F44" w:rsidP="00325F44">
      <w:pPr>
        <w:numPr>
          <w:ilvl w:val="0"/>
          <w:numId w:val="5"/>
        </w:numPr>
        <w:rPr>
          <w:rFonts w:cs="Arial"/>
          <w:color w:val="000000"/>
        </w:rPr>
      </w:pPr>
      <w:r>
        <w:rPr>
          <w:rFonts w:cs="Arial"/>
          <w:color w:val="000000"/>
        </w:rPr>
        <w:t>UK Technical Managers in Universities (TMU).</w:t>
      </w:r>
    </w:p>
    <w:p w14:paraId="51010346" w14:textId="77777777" w:rsidR="00325F44" w:rsidRPr="00542C87" w:rsidRDefault="00325F44" w:rsidP="00325F44">
      <w:pPr>
        <w:numPr>
          <w:ilvl w:val="0"/>
          <w:numId w:val="5"/>
        </w:numPr>
        <w:rPr>
          <w:rFonts w:cs="Arial"/>
          <w:color w:val="000000"/>
        </w:rPr>
      </w:pPr>
      <w:r w:rsidRPr="00542C87">
        <w:rPr>
          <w:rFonts w:cs="Arial"/>
          <w:color w:val="000000"/>
        </w:rPr>
        <w:t>Science Museum</w:t>
      </w:r>
      <w:r>
        <w:rPr>
          <w:rFonts w:cs="Arial"/>
          <w:color w:val="000000"/>
        </w:rPr>
        <w:t>.</w:t>
      </w:r>
    </w:p>
    <w:p w14:paraId="2EE77B88" w14:textId="77777777" w:rsidR="00325F44" w:rsidRDefault="00325F44" w:rsidP="00325F44">
      <w:pPr>
        <w:numPr>
          <w:ilvl w:val="0"/>
          <w:numId w:val="5"/>
        </w:numPr>
        <w:rPr>
          <w:rFonts w:cs="Arial"/>
          <w:color w:val="000000"/>
        </w:rPr>
      </w:pPr>
      <w:r w:rsidRPr="40F7FCC8">
        <w:rPr>
          <w:rFonts w:cs="Arial"/>
          <w:color w:val="000000" w:themeColor="text1"/>
        </w:rPr>
        <w:t>Other Professional Bodies</w:t>
      </w:r>
    </w:p>
    <w:p w14:paraId="017AE7DA" w14:textId="77777777" w:rsidR="00325F44" w:rsidRDefault="00325F44" w:rsidP="00325F44">
      <w:pPr>
        <w:rPr>
          <w:rFonts w:cs="Arial"/>
          <w:color w:val="000000"/>
        </w:rPr>
      </w:pPr>
    </w:p>
    <w:p w14:paraId="631D48B2" w14:textId="77777777" w:rsidR="00325F44" w:rsidRPr="0002520C" w:rsidRDefault="00325F44" w:rsidP="00325F44">
      <w:pPr>
        <w:pStyle w:val="Heading1"/>
        <w:rPr>
          <w:rStyle w:val="normaltextrun"/>
          <w:bCs/>
        </w:rPr>
      </w:pPr>
      <w:r w:rsidRPr="0002520C">
        <w:rPr>
          <w:rStyle w:val="normaltextrun"/>
          <w:bCs/>
        </w:rPr>
        <w:t>Progress</w:t>
      </w:r>
      <w:r>
        <w:rPr>
          <w:rStyle w:val="normaltextrun"/>
          <w:bCs/>
        </w:rPr>
        <w:t xml:space="preserve"> to date</w:t>
      </w:r>
    </w:p>
    <w:p w14:paraId="757ABED6" w14:textId="77777777" w:rsidR="00325F44" w:rsidRDefault="00325F44" w:rsidP="00325F44">
      <w:pPr>
        <w:rPr>
          <w:rFonts w:cs="Arial"/>
          <w:color w:val="000000"/>
        </w:rPr>
      </w:pPr>
    </w:p>
    <w:p w14:paraId="00F80BCF" w14:textId="77777777" w:rsidR="00325F44" w:rsidRDefault="00325F44" w:rsidP="00325F44">
      <w:pPr>
        <w:pStyle w:val="ListParagraph"/>
        <w:numPr>
          <w:ilvl w:val="0"/>
          <w:numId w:val="5"/>
        </w:numPr>
        <w:rPr>
          <w:rFonts w:cs="Arial"/>
          <w:color w:val="000000"/>
        </w:rPr>
      </w:pPr>
      <w:r w:rsidRPr="00674B0F">
        <w:rPr>
          <w:rFonts w:cs="Arial"/>
          <w:color w:val="000000"/>
        </w:rPr>
        <w:t xml:space="preserve">Definition for the RTTP category has been agreed by </w:t>
      </w:r>
      <w:r>
        <w:rPr>
          <w:rFonts w:cs="Arial"/>
          <w:color w:val="000000"/>
        </w:rPr>
        <w:t>HR</w:t>
      </w:r>
      <w:r w:rsidRPr="00674B0F">
        <w:rPr>
          <w:rFonts w:cs="Arial"/>
          <w:color w:val="000000"/>
        </w:rPr>
        <w:t xml:space="preserve"> (Appendix 1) </w:t>
      </w:r>
    </w:p>
    <w:p w14:paraId="46E9C59D" w14:textId="77777777" w:rsidR="00325F44" w:rsidRDefault="00325F44" w:rsidP="00325F44">
      <w:pPr>
        <w:pStyle w:val="ListParagraph"/>
        <w:numPr>
          <w:ilvl w:val="0"/>
          <w:numId w:val="5"/>
        </w:numPr>
        <w:rPr>
          <w:rFonts w:cs="Arial"/>
          <w:color w:val="000000"/>
        </w:rPr>
      </w:pPr>
      <w:r w:rsidRPr="00674B0F">
        <w:rPr>
          <w:rFonts w:cs="Arial"/>
          <w:color w:val="000000"/>
        </w:rPr>
        <w:t>A draft high-level organisational chart has been developed illustrating the location of 1,018 RTTP</w:t>
      </w:r>
      <w:r>
        <w:rPr>
          <w:rFonts w:cs="Arial"/>
          <w:color w:val="000000"/>
        </w:rPr>
        <w:t>s</w:t>
      </w:r>
      <w:r w:rsidRPr="00674B0F">
        <w:rPr>
          <w:rFonts w:cs="Arial"/>
          <w:color w:val="000000"/>
        </w:rPr>
        <w:t xml:space="preserve"> staff within the organisation. This has been shared with departments to allow them to validate the data.</w:t>
      </w:r>
    </w:p>
    <w:p w14:paraId="114EE178" w14:textId="77777777" w:rsidR="00325F44" w:rsidRPr="00CC711C" w:rsidRDefault="00325F44" w:rsidP="00325F44">
      <w:pPr>
        <w:pStyle w:val="ListParagraph"/>
        <w:numPr>
          <w:ilvl w:val="0"/>
          <w:numId w:val="5"/>
        </w:numPr>
        <w:rPr>
          <w:rFonts w:cs="Arial"/>
          <w:color w:val="000000"/>
        </w:rPr>
      </w:pPr>
      <w:r w:rsidRPr="00936510">
        <w:rPr>
          <w:rFonts w:cs="Arial"/>
          <w:color w:val="000000"/>
        </w:rPr>
        <w:t>Due to the different ways HR define technical roles, generating a comprehensive list of all current RTTP staff has been a challenge. Many Directors of Operations (</w:t>
      </w:r>
      <w:proofErr w:type="spellStart"/>
      <w:r w:rsidRPr="00936510">
        <w:rPr>
          <w:rFonts w:cs="Arial"/>
          <w:color w:val="000000"/>
        </w:rPr>
        <w:t>DoO</w:t>
      </w:r>
      <w:proofErr w:type="spellEnd"/>
      <w:r w:rsidRPr="00936510">
        <w:rPr>
          <w:rFonts w:cs="Arial"/>
          <w:color w:val="000000"/>
        </w:rPr>
        <w:t>) have agreed that with time the uncaptured RTTP staff will align with a career pathway and help refine the definition of RTTP staff to develop an all-encompassing list.</w:t>
      </w:r>
    </w:p>
    <w:p w14:paraId="1A2C77D6" w14:textId="77777777" w:rsidR="00325F44" w:rsidRPr="00A13A4C" w:rsidRDefault="00325F44" w:rsidP="00325F44">
      <w:pPr>
        <w:pStyle w:val="ListParagraph"/>
        <w:numPr>
          <w:ilvl w:val="0"/>
          <w:numId w:val="5"/>
        </w:numPr>
      </w:pPr>
      <w:r w:rsidRPr="00A13A4C">
        <w:t xml:space="preserve">Revised TMG membership </w:t>
      </w:r>
      <w:r>
        <w:t>to</w:t>
      </w:r>
      <w:r w:rsidRPr="00A13A4C">
        <w:t xml:space="preserve"> represent the entire RTTP community. </w:t>
      </w:r>
    </w:p>
    <w:p w14:paraId="36FE0BE8" w14:textId="77777777" w:rsidR="00325F44" w:rsidRDefault="00325F44" w:rsidP="00325F44">
      <w:pPr>
        <w:pStyle w:val="ListParagraph"/>
        <w:numPr>
          <w:ilvl w:val="0"/>
          <w:numId w:val="5"/>
        </w:numPr>
        <w:rPr>
          <w:rFonts w:cs="Arial"/>
          <w:color w:val="000000"/>
        </w:rPr>
      </w:pPr>
      <w:r w:rsidRPr="004B36DA">
        <w:rPr>
          <w:rFonts w:cs="Arial"/>
          <w:color w:val="000000"/>
        </w:rPr>
        <w:t>The TMG now leading on all ongoing and future initiatives towards the improvement of Visibility, Recognition, Career Development and Sustainability of Technicians as part of the transition to Business as Usual (BAU).</w:t>
      </w:r>
    </w:p>
    <w:p w14:paraId="4B1BA1D7" w14:textId="77777777" w:rsidR="00325F44" w:rsidRDefault="00325F44" w:rsidP="00325F44">
      <w:pPr>
        <w:pStyle w:val="ListParagraph"/>
        <w:numPr>
          <w:ilvl w:val="0"/>
          <w:numId w:val="5"/>
        </w:numPr>
        <w:rPr>
          <w:rFonts w:cs="Arial"/>
          <w:color w:val="000000"/>
        </w:rPr>
      </w:pPr>
      <w:r w:rsidRPr="00BD4BBF">
        <w:rPr>
          <w:rFonts w:cs="Arial"/>
          <w:color w:val="000000"/>
        </w:rPr>
        <w:t xml:space="preserve">For the new ‘Technical Professionals Career Framework’, job families have been established in a way to </w:t>
      </w:r>
      <w:r>
        <w:rPr>
          <w:rFonts w:cs="Arial"/>
          <w:color w:val="000000"/>
        </w:rPr>
        <w:t>reflect the way Technical Professionals operate, which differs from the existing Professional Services Career Frameworks.</w:t>
      </w:r>
    </w:p>
    <w:p w14:paraId="7E1C97C8" w14:textId="77777777" w:rsidR="00325F44" w:rsidRPr="006B1100" w:rsidRDefault="00325F44" w:rsidP="00325F44">
      <w:pPr>
        <w:pStyle w:val="pf0"/>
        <w:numPr>
          <w:ilvl w:val="0"/>
          <w:numId w:val="5"/>
        </w:numPr>
        <w:rPr>
          <w:rFonts w:ascii="Arial" w:eastAsiaTheme="minorEastAsia" w:hAnsi="Arial" w:cs="Arial"/>
          <w:color w:val="000000"/>
          <w:lang w:eastAsia="ja-JP"/>
        </w:rPr>
      </w:pPr>
      <w:r w:rsidRPr="006B1100">
        <w:rPr>
          <w:rFonts w:ascii="Arial" w:eastAsiaTheme="minorEastAsia" w:hAnsi="Arial" w:cs="Arial"/>
          <w:color w:val="000000"/>
          <w:lang w:eastAsia="ja-JP"/>
        </w:rPr>
        <w:t>Career Frameworks at other HE Institutions have been designed using graded job families. This approach allows easy navigation for staff to find the job family with similar responsibilities, irrespective of their technical specialism to align to. Using the framework, they can assess what knowledge, skills and experience is required for progression.</w:t>
      </w:r>
    </w:p>
    <w:p w14:paraId="29F7DC54" w14:textId="77777777" w:rsidR="00325F44" w:rsidRPr="00436E33" w:rsidRDefault="00325F44" w:rsidP="00325F44">
      <w:pPr>
        <w:pStyle w:val="ListParagraph"/>
        <w:numPr>
          <w:ilvl w:val="0"/>
          <w:numId w:val="5"/>
        </w:numPr>
        <w:rPr>
          <w:rStyle w:val="normaltextrun"/>
          <w:rFonts w:cs="Arial"/>
          <w:color w:val="000000"/>
        </w:rPr>
      </w:pPr>
      <w:r w:rsidRPr="00436E33">
        <w:rPr>
          <w:rStyle w:val="normaltextrun"/>
          <w:rFonts w:cs="Arial"/>
          <w:color w:val="000000"/>
          <w:shd w:val="clear" w:color="auto" w:fill="FFFFFF"/>
        </w:rPr>
        <w:t xml:space="preserve">The Phase 2 Senior Sponsor Group (who are responsible for the official sign-off on the career framework) </w:t>
      </w:r>
      <w:r>
        <w:rPr>
          <w:rStyle w:val="normaltextrun"/>
          <w:rFonts w:cs="Arial"/>
          <w:color w:val="000000"/>
          <w:shd w:val="clear" w:color="auto" w:fill="FFFFFF"/>
        </w:rPr>
        <w:t>have</w:t>
      </w:r>
      <w:r w:rsidRPr="00436E33">
        <w:rPr>
          <w:rStyle w:val="normaltextrun"/>
          <w:rFonts w:cs="Arial"/>
          <w:color w:val="000000"/>
          <w:shd w:val="clear" w:color="auto" w:fill="FFFFFF"/>
        </w:rPr>
        <w:t xml:space="preserve"> be</w:t>
      </w:r>
      <w:r>
        <w:rPr>
          <w:rStyle w:val="normaltextrun"/>
          <w:rFonts w:cs="Arial"/>
          <w:color w:val="000000"/>
          <w:shd w:val="clear" w:color="auto" w:fill="FFFFFF"/>
        </w:rPr>
        <w:t>en</w:t>
      </w:r>
      <w:r w:rsidRPr="00436E33">
        <w:rPr>
          <w:rStyle w:val="normaltextrun"/>
          <w:rFonts w:cs="Arial"/>
          <w:color w:val="000000"/>
          <w:shd w:val="clear" w:color="auto" w:fill="FFFFFF"/>
        </w:rPr>
        <w:t xml:space="preserve"> presented with suggestions, and a proposal of how the framework </w:t>
      </w:r>
      <w:r>
        <w:rPr>
          <w:rStyle w:val="normaltextrun"/>
          <w:rFonts w:cs="Arial"/>
          <w:color w:val="000000"/>
          <w:shd w:val="clear" w:color="auto" w:fill="FFFFFF"/>
        </w:rPr>
        <w:t xml:space="preserve">can </w:t>
      </w:r>
      <w:r w:rsidRPr="00436E33">
        <w:rPr>
          <w:rStyle w:val="normaltextrun"/>
          <w:rFonts w:cs="Arial"/>
          <w:color w:val="000000"/>
          <w:shd w:val="clear" w:color="auto" w:fill="FFFFFF"/>
        </w:rPr>
        <w:t>be developed.</w:t>
      </w:r>
    </w:p>
    <w:p w14:paraId="24CC41FB" w14:textId="77777777" w:rsidR="00325F44" w:rsidRPr="00096C1D" w:rsidRDefault="00325F44" w:rsidP="00325F44">
      <w:pPr>
        <w:pStyle w:val="ListParagraph"/>
        <w:numPr>
          <w:ilvl w:val="0"/>
          <w:numId w:val="5"/>
        </w:numPr>
        <w:rPr>
          <w:rStyle w:val="normaltextrun"/>
          <w:rFonts w:cs="Arial"/>
          <w:color w:val="000000"/>
        </w:rPr>
      </w:pPr>
      <w:r w:rsidRPr="00436E33">
        <w:rPr>
          <w:rStyle w:val="normaltextrun"/>
          <w:rFonts w:cs="Arial"/>
          <w:color w:val="000000"/>
          <w:bdr w:val="none" w:sz="0" w:space="0" w:color="auto" w:frame="1"/>
        </w:rPr>
        <w:t xml:space="preserve">All this work </w:t>
      </w:r>
      <w:r>
        <w:rPr>
          <w:rStyle w:val="normaltextrun"/>
          <w:rFonts w:cs="Arial"/>
          <w:color w:val="000000"/>
          <w:bdr w:val="none" w:sz="0" w:space="0" w:color="auto" w:frame="1"/>
        </w:rPr>
        <w:t xml:space="preserve">has been </w:t>
      </w:r>
      <w:r w:rsidRPr="00436E33">
        <w:rPr>
          <w:rStyle w:val="normaltextrun"/>
          <w:rFonts w:cs="Arial"/>
          <w:color w:val="000000"/>
          <w:bdr w:val="none" w:sz="0" w:space="0" w:color="auto" w:frame="1"/>
        </w:rPr>
        <w:t xml:space="preserve">led by UCL’s </w:t>
      </w:r>
      <w:r>
        <w:rPr>
          <w:rStyle w:val="normaltextrun"/>
          <w:rFonts w:cs="Arial"/>
          <w:color w:val="000000"/>
          <w:bdr w:val="none" w:sz="0" w:space="0" w:color="auto" w:frame="1"/>
        </w:rPr>
        <w:t>Director</w:t>
      </w:r>
      <w:r w:rsidRPr="00436E33">
        <w:rPr>
          <w:rStyle w:val="normaltextrun"/>
          <w:rFonts w:cs="Arial"/>
          <w:color w:val="000000"/>
          <w:bdr w:val="none" w:sz="0" w:space="0" w:color="auto" w:frame="1"/>
        </w:rPr>
        <w:t xml:space="preserve"> of Career Development working together with collaboration of RTTPs at various grades, and with the support of the recently established ‘Technical Skills Development Hub (TSDH) and UCL’s Technical Managers Group (TMG).</w:t>
      </w:r>
    </w:p>
    <w:p w14:paraId="4B0C0E41" w14:textId="77777777" w:rsidR="00325F44" w:rsidRPr="00436E33" w:rsidRDefault="00325F44" w:rsidP="00325F44">
      <w:pPr>
        <w:pStyle w:val="ListParagraph"/>
        <w:numPr>
          <w:ilvl w:val="0"/>
          <w:numId w:val="5"/>
        </w:numPr>
        <w:rPr>
          <w:rStyle w:val="normaltextrun"/>
          <w:rFonts w:cs="Arial"/>
          <w:color w:val="000000"/>
        </w:rPr>
      </w:pPr>
      <w:r>
        <w:rPr>
          <w:rStyle w:val="normaltextrun"/>
          <w:rFonts w:cs="Arial"/>
          <w:color w:val="000000"/>
          <w:bdr w:val="none" w:sz="0" w:space="0" w:color="auto" w:frame="1"/>
        </w:rPr>
        <w:t>An UCL Technical Skills Development Hub (TSDH) has being established.</w:t>
      </w:r>
    </w:p>
    <w:p w14:paraId="288BA5D0" w14:textId="77777777" w:rsidR="00325F44" w:rsidRDefault="00325F44" w:rsidP="00325F44">
      <w:pPr>
        <w:spacing w:after="160" w:line="259" w:lineRule="auto"/>
        <w:rPr>
          <w:rStyle w:val="normaltextrun"/>
          <w:rFonts w:cs="Arial"/>
          <w:color w:val="000000"/>
        </w:rPr>
      </w:pPr>
      <w:r>
        <w:rPr>
          <w:rStyle w:val="normaltextrun"/>
          <w:rFonts w:cs="Arial"/>
          <w:color w:val="000000"/>
        </w:rPr>
        <w:br w:type="page"/>
      </w:r>
    </w:p>
    <w:p w14:paraId="1064DA02" w14:textId="77777777" w:rsidR="00325F44" w:rsidRDefault="00325F44" w:rsidP="00325F44">
      <w:pPr>
        <w:rPr>
          <w:rStyle w:val="normaltextrun"/>
          <w:rFonts w:cs="Arial"/>
          <w:color w:val="000000"/>
        </w:rPr>
      </w:pPr>
    </w:p>
    <w:p w14:paraId="080C301C" w14:textId="77777777" w:rsidR="00325F44" w:rsidRDefault="00325F44" w:rsidP="00325F44">
      <w:pPr>
        <w:rPr>
          <w:rStyle w:val="normaltextrun"/>
          <w:rFonts w:cs="Arial"/>
          <w:b/>
          <w:bCs/>
          <w:color w:val="000000"/>
        </w:rPr>
      </w:pPr>
      <w:r w:rsidRPr="40F7FCC8">
        <w:rPr>
          <w:rStyle w:val="normaltextrun"/>
          <w:rFonts w:cs="Arial"/>
          <w:b/>
          <w:bCs/>
          <w:color w:val="000000" w:themeColor="text1"/>
        </w:rPr>
        <w:t>Appendix 1: Phase 1 RAG</w:t>
      </w:r>
      <w:r>
        <w:rPr>
          <w:rStyle w:val="normaltextrun"/>
          <w:rFonts w:cs="Arial"/>
          <w:b/>
          <w:bCs/>
          <w:color w:val="000000" w:themeColor="text1"/>
        </w:rPr>
        <w:t xml:space="preserve"> (Red, Amber, Green)</w:t>
      </w:r>
      <w:r w:rsidRPr="40F7FCC8">
        <w:rPr>
          <w:rStyle w:val="normaltextrun"/>
          <w:rFonts w:cs="Arial"/>
          <w:b/>
          <w:bCs/>
          <w:color w:val="000000" w:themeColor="text1"/>
        </w:rPr>
        <w:t xml:space="preserve"> Analysis.</w:t>
      </w:r>
    </w:p>
    <w:p w14:paraId="569E4A2F" w14:textId="77777777" w:rsidR="00325F44" w:rsidRDefault="00325F44" w:rsidP="00325F44">
      <w:pPr>
        <w:rPr>
          <w:rStyle w:val="normaltextrun"/>
          <w:rFonts w:cs="Arial"/>
          <w:b/>
          <w:bCs/>
          <w:color w:val="000000"/>
        </w:rPr>
      </w:pPr>
    </w:p>
    <w:p w14:paraId="1190C6C4" w14:textId="77777777" w:rsidR="00325F44" w:rsidRPr="009B4B4B" w:rsidRDefault="00325F44" w:rsidP="00325F44">
      <w:pPr>
        <w:rPr>
          <w:rStyle w:val="normaltextrun"/>
          <w:rFonts w:cs="Arial"/>
          <w:b/>
          <w:bCs/>
          <w:color w:val="000000"/>
        </w:rPr>
      </w:pPr>
    </w:p>
    <w:tbl>
      <w:tblPr>
        <w:tblStyle w:val="TableGrid"/>
        <w:tblW w:w="0" w:type="auto"/>
        <w:tblLook w:val="04A0" w:firstRow="1" w:lastRow="0" w:firstColumn="1" w:lastColumn="0" w:noHBand="0" w:noVBand="1"/>
      </w:tblPr>
      <w:tblGrid>
        <w:gridCol w:w="1697"/>
        <w:gridCol w:w="2507"/>
        <w:gridCol w:w="5233"/>
        <w:gridCol w:w="751"/>
      </w:tblGrid>
      <w:tr w:rsidR="00325F44" w14:paraId="6CFDD7B6" w14:textId="77777777" w:rsidTr="006E4750">
        <w:tc>
          <w:tcPr>
            <w:tcW w:w="1697" w:type="dxa"/>
          </w:tcPr>
          <w:p w14:paraId="7A2610EF" w14:textId="77777777" w:rsidR="00325F44" w:rsidRPr="009B4B4B" w:rsidRDefault="00325F44" w:rsidP="006E4750">
            <w:pPr>
              <w:rPr>
                <w:rStyle w:val="normaltextrun"/>
                <w:rFonts w:cs="Arial"/>
                <w:b/>
                <w:bCs/>
                <w:color w:val="000000"/>
              </w:rPr>
            </w:pPr>
            <w:r w:rsidRPr="009B4B4B">
              <w:rPr>
                <w:rStyle w:val="normaltextrun"/>
                <w:rFonts w:cs="Arial"/>
                <w:b/>
                <w:bCs/>
                <w:color w:val="000000"/>
              </w:rPr>
              <w:t>Technician Commitment Key area</w:t>
            </w:r>
          </w:p>
        </w:tc>
        <w:tc>
          <w:tcPr>
            <w:tcW w:w="2507" w:type="dxa"/>
          </w:tcPr>
          <w:p w14:paraId="2164A8D2" w14:textId="77777777" w:rsidR="00325F44" w:rsidRPr="009B4B4B" w:rsidRDefault="00325F44" w:rsidP="006E4750">
            <w:pPr>
              <w:rPr>
                <w:rStyle w:val="normaltextrun"/>
                <w:rFonts w:cs="Arial"/>
                <w:b/>
                <w:bCs/>
                <w:color w:val="000000"/>
              </w:rPr>
            </w:pPr>
            <w:r w:rsidRPr="009B4B4B">
              <w:rPr>
                <w:rStyle w:val="normaltextrun"/>
                <w:rFonts w:cs="Arial"/>
                <w:b/>
                <w:bCs/>
                <w:color w:val="000000"/>
              </w:rPr>
              <w:t>Activity</w:t>
            </w:r>
          </w:p>
        </w:tc>
        <w:tc>
          <w:tcPr>
            <w:tcW w:w="5233" w:type="dxa"/>
          </w:tcPr>
          <w:p w14:paraId="2DAD4DD7" w14:textId="77777777" w:rsidR="00325F44" w:rsidRPr="009B4B4B" w:rsidRDefault="00325F44" w:rsidP="006E4750">
            <w:pPr>
              <w:rPr>
                <w:rStyle w:val="normaltextrun"/>
                <w:rFonts w:cs="Arial"/>
                <w:b/>
                <w:bCs/>
                <w:color w:val="000000"/>
              </w:rPr>
            </w:pPr>
            <w:r w:rsidRPr="009B4B4B">
              <w:rPr>
                <w:rStyle w:val="normaltextrun"/>
                <w:rFonts w:cs="Arial"/>
                <w:b/>
                <w:bCs/>
                <w:color w:val="000000"/>
              </w:rPr>
              <w:t>Evidence</w:t>
            </w:r>
          </w:p>
        </w:tc>
        <w:tc>
          <w:tcPr>
            <w:tcW w:w="751" w:type="dxa"/>
          </w:tcPr>
          <w:p w14:paraId="6C900ADE" w14:textId="77777777" w:rsidR="00325F44" w:rsidRPr="009B4B4B" w:rsidRDefault="00325F44" w:rsidP="006E4750">
            <w:pPr>
              <w:rPr>
                <w:rStyle w:val="normaltextrun"/>
                <w:rFonts w:cs="Arial"/>
                <w:b/>
                <w:bCs/>
                <w:color w:val="000000"/>
              </w:rPr>
            </w:pPr>
            <w:r w:rsidRPr="009B4B4B">
              <w:rPr>
                <w:rStyle w:val="normaltextrun"/>
                <w:rFonts w:cs="Arial"/>
                <w:b/>
                <w:bCs/>
                <w:color w:val="000000"/>
              </w:rPr>
              <w:t>RAG</w:t>
            </w:r>
          </w:p>
        </w:tc>
      </w:tr>
      <w:tr w:rsidR="00325F44" w14:paraId="655B214B" w14:textId="77777777" w:rsidTr="006E4750">
        <w:tc>
          <w:tcPr>
            <w:tcW w:w="1697" w:type="dxa"/>
          </w:tcPr>
          <w:p w14:paraId="61496510" w14:textId="77777777" w:rsidR="00325F44" w:rsidRDefault="00325F44" w:rsidP="006E4750">
            <w:pPr>
              <w:rPr>
                <w:rStyle w:val="normaltextrun"/>
                <w:rFonts w:cs="Arial"/>
                <w:color w:val="000000"/>
              </w:rPr>
            </w:pPr>
            <w:r>
              <w:rPr>
                <w:rStyle w:val="normaltextrun"/>
                <w:rFonts w:cs="Arial"/>
                <w:color w:val="000000"/>
              </w:rPr>
              <w:t>Visibility; Sustainability</w:t>
            </w:r>
          </w:p>
        </w:tc>
        <w:tc>
          <w:tcPr>
            <w:tcW w:w="2507" w:type="dxa"/>
          </w:tcPr>
          <w:p w14:paraId="57B71212" w14:textId="77777777" w:rsidR="00325F44" w:rsidRDefault="00325F44" w:rsidP="006E4750">
            <w:pPr>
              <w:ind w:right="-147"/>
              <w:rPr>
                <w:rStyle w:val="normaltextrun"/>
                <w:rFonts w:cs="Arial"/>
                <w:color w:val="000000"/>
              </w:rPr>
            </w:pPr>
            <w:r w:rsidRPr="005F2657">
              <w:rPr>
                <w:rStyle w:val="normaltextrun"/>
                <w:rFonts w:cs="Arial"/>
                <w:color w:val="000000"/>
              </w:rPr>
              <w:t>Agree scope and</w:t>
            </w:r>
            <w:r>
              <w:rPr>
                <w:rStyle w:val="normaltextrun"/>
                <w:rFonts w:cs="Arial"/>
                <w:color w:val="000000"/>
              </w:rPr>
              <w:t xml:space="preserve"> </w:t>
            </w:r>
            <w:r w:rsidRPr="005F2657">
              <w:rPr>
                <w:rStyle w:val="normaltextrun"/>
                <w:rFonts w:cs="Arial"/>
                <w:color w:val="000000"/>
              </w:rPr>
              <w:t xml:space="preserve">definition of </w:t>
            </w:r>
            <w:r>
              <w:rPr>
                <w:rStyle w:val="normaltextrun"/>
                <w:rFonts w:cs="Arial"/>
                <w:color w:val="000000"/>
              </w:rPr>
              <w:t>t</w:t>
            </w:r>
            <w:r w:rsidRPr="005F2657">
              <w:rPr>
                <w:rStyle w:val="normaltextrun"/>
                <w:rFonts w:cs="Arial"/>
                <w:color w:val="000000"/>
              </w:rPr>
              <w:t>echnician</w:t>
            </w:r>
            <w:r>
              <w:rPr>
                <w:rStyle w:val="normaltextrun"/>
                <w:rFonts w:cs="Arial"/>
                <w:color w:val="000000"/>
              </w:rPr>
              <w:t xml:space="preserve"> c</w:t>
            </w:r>
            <w:r w:rsidRPr="005F2657">
              <w:rPr>
                <w:rStyle w:val="normaltextrun"/>
                <w:rFonts w:cs="Arial"/>
                <w:color w:val="000000"/>
              </w:rPr>
              <w:t>ommunity.</w:t>
            </w:r>
          </w:p>
        </w:tc>
        <w:tc>
          <w:tcPr>
            <w:tcW w:w="5233" w:type="dxa"/>
          </w:tcPr>
          <w:p w14:paraId="253D0EAA" w14:textId="77777777" w:rsidR="00325F44" w:rsidRDefault="00325F44" w:rsidP="006E4750">
            <w:pPr>
              <w:rPr>
                <w:rStyle w:val="normaltextrun"/>
                <w:rFonts w:cs="Arial"/>
                <w:color w:val="000000"/>
              </w:rPr>
            </w:pPr>
            <w:r>
              <w:rPr>
                <w:rStyle w:val="normaltextrun"/>
                <w:rFonts w:cs="Arial"/>
                <w:color w:val="000000"/>
              </w:rPr>
              <w:t>UCL now uses the term RTTP (Research and Teaching Technical Professionals)</w:t>
            </w:r>
          </w:p>
        </w:tc>
        <w:tc>
          <w:tcPr>
            <w:tcW w:w="751" w:type="dxa"/>
            <w:shd w:val="clear" w:color="auto" w:fill="538135" w:themeFill="accent6" w:themeFillShade="BF"/>
          </w:tcPr>
          <w:p w14:paraId="3268463B" w14:textId="77777777" w:rsidR="00325F44" w:rsidRDefault="00325F44" w:rsidP="006E4750">
            <w:pPr>
              <w:rPr>
                <w:rStyle w:val="normaltextrun"/>
                <w:rFonts w:cs="Arial"/>
                <w:color w:val="000000"/>
              </w:rPr>
            </w:pPr>
          </w:p>
        </w:tc>
      </w:tr>
      <w:tr w:rsidR="00325F44" w14:paraId="1DB03A41" w14:textId="77777777" w:rsidTr="006E4750">
        <w:tc>
          <w:tcPr>
            <w:tcW w:w="1697" w:type="dxa"/>
          </w:tcPr>
          <w:p w14:paraId="74192E9B" w14:textId="77777777" w:rsidR="00325F44" w:rsidRDefault="00325F44" w:rsidP="006E4750">
            <w:pPr>
              <w:rPr>
                <w:rStyle w:val="normaltextrun"/>
                <w:rFonts w:cs="Arial"/>
                <w:color w:val="000000"/>
              </w:rPr>
            </w:pPr>
            <w:r>
              <w:rPr>
                <w:rStyle w:val="normaltextrun"/>
                <w:rFonts w:cs="Arial"/>
                <w:color w:val="000000"/>
              </w:rPr>
              <w:t>Visibility; Sustainability</w:t>
            </w:r>
          </w:p>
        </w:tc>
        <w:tc>
          <w:tcPr>
            <w:tcW w:w="2507" w:type="dxa"/>
          </w:tcPr>
          <w:p w14:paraId="051DF3E3" w14:textId="77777777" w:rsidR="00325F44" w:rsidRPr="005F2657" w:rsidRDefault="00325F44" w:rsidP="006E4750">
            <w:pPr>
              <w:rPr>
                <w:rStyle w:val="normaltextrun"/>
                <w:rFonts w:cs="Arial"/>
                <w:color w:val="000000"/>
              </w:rPr>
            </w:pPr>
            <w:r w:rsidRPr="005F2657">
              <w:rPr>
                <w:rStyle w:val="normaltextrun"/>
                <w:rFonts w:cs="Arial"/>
                <w:color w:val="000000"/>
              </w:rPr>
              <w:t>Undertake a survey to</w:t>
            </w:r>
            <w:r>
              <w:rPr>
                <w:rStyle w:val="normaltextrun"/>
                <w:rFonts w:cs="Arial"/>
                <w:color w:val="000000"/>
              </w:rPr>
              <w:t xml:space="preserve"> </w:t>
            </w:r>
            <w:r w:rsidRPr="005F2657">
              <w:rPr>
                <w:rStyle w:val="normaltextrun"/>
                <w:rFonts w:cs="Arial"/>
                <w:color w:val="000000"/>
              </w:rPr>
              <w:t>map skills and</w:t>
            </w:r>
          </w:p>
          <w:p w14:paraId="6921FD71" w14:textId="77777777" w:rsidR="00325F44" w:rsidRDefault="00325F44" w:rsidP="006E4750">
            <w:pPr>
              <w:rPr>
                <w:rStyle w:val="normaltextrun"/>
                <w:rFonts w:cs="Arial"/>
                <w:color w:val="000000"/>
              </w:rPr>
            </w:pPr>
            <w:r w:rsidRPr="005F2657">
              <w:rPr>
                <w:rStyle w:val="normaltextrun"/>
                <w:rFonts w:cs="Arial"/>
                <w:color w:val="000000"/>
              </w:rPr>
              <w:t>Capabilities</w:t>
            </w:r>
            <w:r>
              <w:rPr>
                <w:rStyle w:val="normaltextrun"/>
                <w:rFonts w:cs="Arial"/>
                <w:color w:val="000000"/>
              </w:rPr>
              <w:t>.</w:t>
            </w:r>
          </w:p>
        </w:tc>
        <w:tc>
          <w:tcPr>
            <w:tcW w:w="5233" w:type="dxa"/>
          </w:tcPr>
          <w:p w14:paraId="5804B7CF" w14:textId="77777777" w:rsidR="00325F44" w:rsidRDefault="00325F44" w:rsidP="006E4750">
            <w:pPr>
              <w:rPr>
                <w:rStyle w:val="normaltextrun"/>
                <w:rFonts w:cs="Arial"/>
                <w:color w:val="000000"/>
              </w:rPr>
            </w:pPr>
            <w:r>
              <w:rPr>
                <w:rStyle w:val="normaltextrun"/>
                <w:rFonts w:cs="Arial"/>
                <w:color w:val="000000"/>
              </w:rPr>
              <w:t>NTDC Skills survey done in 2021 and report published at the end of 2023</w:t>
            </w:r>
          </w:p>
        </w:tc>
        <w:tc>
          <w:tcPr>
            <w:tcW w:w="751" w:type="dxa"/>
            <w:shd w:val="clear" w:color="auto" w:fill="538135" w:themeFill="accent6" w:themeFillShade="BF"/>
          </w:tcPr>
          <w:p w14:paraId="480C5F48" w14:textId="77777777" w:rsidR="00325F44" w:rsidRDefault="00325F44" w:rsidP="006E4750">
            <w:pPr>
              <w:rPr>
                <w:rStyle w:val="normaltextrun"/>
                <w:rFonts w:cs="Arial"/>
                <w:color w:val="000000"/>
              </w:rPr>
            </w:pPr>
          </w:p>
        </w:tc>
      </w:tr>
      <w:tr w:rsidR="00325F44" w14:paraId="483B64A8" w14:textId="77777777" w:rsidTr="006E4750">
        <w:tc>
          <w:tcPr>
            <w:tcW w:w="1697" w:type="dxa"/>
          </w:tcPr>
          <w:p w14:paraId="0CB79513" w14:textId="77777777" w:rsidR="00325F44" w:rsidRDefault="00325F44" w:rsidP="006E4750">
            <w:pPr>
              <w:rPr>
                <w:rStyle w:val="normaltextrun"/>
                <w:rFonts w:cs="Arial"/>
                <w:color w:val="000000"/>
              </w:rPr>
            </w:pPr>
            <w:r>
              <w:rPr>
                <w:rStyle w:val="normaltextrun"/>
                <w:rFonts w:cs="Arial"/>
                <w:color w:val="000000"/>
              </w:rPr>
              <w:t>Visibility; Sustainability; Career Development</w:t>
            </w:r>
          </w:p>
        </w:tc>
        <w:tc>
          <w:tcPr>
            <w:tcW w:w="2507" w:type="dxa"/>
          </w:tcPr>
          <w:p w14:paraId="79DEBBFC" w14:textId="77777777" w:rsidR="00325F44" w:rsidRDefault="00325F44" w:rsidP="006E4750">
            <w:pPr>
              <w:rPr>
                <w:rStyle w:val="normaltextrun"/>
                <w:rFonts w:cs="Arial"/>
                <w:color w:val="000000"/>
              </w:rPr>
            </w:pPr>
            <w:r w:rsidRPr="005F2657">
              <w:rPr>
                <w:rStyle w:val="normaltextrun"/>
                <w:rFonts w:cs="Arial"/>
                <w:color w:val="000000"/>
              </w:rPr>
              <w:t>Set up communities of</w:t>
            </w:r>
            <w:r>
              <w:rPr>
                <w:rStyle w:val="normaltextrun"/>
                <w:rFonts w:cs="Arial"/>
                <w:color w:val="000000"/>
              </w:rPr>
              <w:t xml:space="preserve"> </w:t>
            </w:r>
            <w:r w:rsidRPr="005F2657">
              <w:rPr>
                <w:rStyle w:val="normaltextrun"/>
                <w:rFonts w:cs="Arial"/>
                <w:color w:val="000000"/>
              </w:rPr>
              <w:t>practice related to</w:t>
            </w:r>
            <w:r>
              <w:rPr>
                <w:rStyle w:val="normaltextrun"/>
                <w:rFonts w:cs="Arial"/>
                <w:color w:val="000000"/>
              </w:rPr>
              <w:t xml:space="preserve"> </w:t>
            </w:r>
            <w:r w:rsidRPr="005F2657">
              <w:rPr>
                <w:rStyle w:val="normaltextrun"/>
                <w:rFonts w:cs="Arial"/>
                <w:color w:val="000000"/>
              </w:rPr>
              <w:t>technical staff</w:t>
            </w:r>
            <w:r>
              <w:rPr>
                <w:rStyle w:val="normaltextrun"/>
                <w:rFonts w:cs="Arial"/>
                <w:color w:val="000000"/>
              </w:rPr>
              <w:t>.</w:t>
            </w:r>
          </w:p>
        </w:tc>
        <w:tc>
          <w:tcPr>
            <w:tcW w:w="5233" w:type="dxa"/>
          </w:tcPr>
          <w:p w14:paraId="70DEBAB0" w14:textId="77777777" w:rsidR="00325F44" w:rsidRDefault="00325F44" w:rsidP="006E4750">
            <w:pPr>
              <w:rPr>
                <w:rStyle w:val="normaltextrun"/>
                <w:rFonts w:cs="Arial"/>
                <w:color w:val="000000"/>
              </w:rPr>
            </w:pPr>
            <w:r>
              <w:rPr>
                <w:rStyle w:val="normaltextrun"/>
                <w:rFonts w:cs="Arial"/>
                <w:color w:val="000000"/>
              </w:rPr>
              <w:t>Two communities of practice (CoP) have been set: Engineering Technical Staff and Research IT</w:t>
            </w:r>
          </w:p>
          <w:p w14:paraId="2BACF3CA" w14:textId="77777777" w:rsidR="00325F44" w:rsidRDefault="00325F44" w:rsidP="006E4750">
            <w:pPr>
              <w:rPr>
                <w:rStyle w:val="normaltextrun"/>
                <w:rFonts w:cs="Arial"/>
                <w:color w:val="000000"/>
              </w:rPr>
            </w:pPr>
            <w:r>
              <w:rPr>
                <w:rStyle w:val="normaltextrun"/>
                <w:rFonts w:cs="Arial"/>
                <w:color w:val="000000"/>
              </w:rPr>
              <w:t>Apart from CoP, we also have two networks: Lab Tech Network and Technical Managers Group – TMG</w:t>
            </w:r>
          </w:p>
          <w:p w14:paraId="25115DFB" w14:textId="77777777" w:rsidR="00325F44" w:rsidRDefault="00325F44" w:rsidP="006E4750">
            <w:pPr>
              <w:rPr>
                <w:rStyle w:val="normaltextrun"/>
                <w:rFonts w:cs="Arial"/>
                <w:color w:val="000000"/>
              </w:rPr>
            </w:pPr>
            <w:r w:rsidRPr="40F7FCC8">
              <w:rPr>
                <w:rStyle w:val="normaltextrun"/>
                <w:rFonts w:cs="Arial"/>
                <w:color w:val="000000" w:themeColor="text1"/>
              </w:rPr>
              <w:t xml:space="preserve">We are aiming to set another two CoP: Teaching technicians and STP </w:t>
            </w:r>
            <w:r>
              <w:rPr>
                <w:rStyle w:val="normaltextrun"/>
                <w:rFonts w:cs="Arial"/>
                <w:color w:val="000000" w:themeColor="text1"/>
              </w:rPr>
              <w:t xml:space="preserve">(Science Technology Platforms) </w:t>
            </w:r>
            <w:r w:rsidRPr="40F7FCC8">
              <w:rPr>
                <w:rStyle w:val="normaltextrun"/>
                <w:rFonts w:cs="Arial"/>
                <w:color w:val="000000" w:themeColor="text1"/>
              </w:rPr>
              <w:t>Professionals</w:t>
            </w:r>
          </w:p>
        </w:tc>
        <w:tc>
          <w:tcPr>
            <w:tcW w:w="751" w:type="dxa"/>
            <w:shd w:val="clear" w:color="auto" w:fill="FFFF00"/>
          </w:tcPr>
          <w:p w14:paraId="264F389B" w14:textId="77777777" w:rsidR="00325F44" w:rsidRDefault="00325F44" w:rsidP="006E4750">
            <w:pPr>
              <w:rPr>
                <w:rStyle w:val="normaltextrun"/>
                <w:rFonts w:cs="Arial"/>
                <w:color w:val="000000"/>
              </w:rPr>
            </w:pPr>
          </w:p>
        </w:tc>
      </w:tr>
      <w:tr w:rsidR="00325F44" w14:paraId="3FACD98A" w14:textId="77777777" w:rsidTr="006E4750">
        <w:tc>
          <w:tcPr>
            <w:tcW w:w="1697" w:type="dxa"/>
          </w:tcPr>
          <w:p w14:paraId="29914C69" w14:textId="77777777" w:rsidR="00325F44" w:rsidRDefault="00325F44" w:rsidP="006E4750">
            <w:pPr>
              <w:rPr>
                <w:rStyle w:val="normaltextrun"/>
                <w:rFonts w:cs="Arial"/>
                <w:color w:val="000000"/>
              </w:rPr>
            </w:pPr>
            <w:r>
              <w:rPr>
                <w:rStyle w:val="normaltextrun"/>
                <w:rFonts w:cs="Arial"/>
                <w:color w:val="000000"/>
              </w:rPr>
              <w:t>Sustainability; Career Development</w:t>
            </w:r>
          </w:p>
        </w:tc>
        <w:tc>
          <w:tcPr>
            <w:tcW w:w="2507" w:type="dxa"/>
          </w:tcPr>
          <w:p w14:paraId="462D27A5" w14:textId="77777777" w:rsidR="00325F44" w:rsidRDefault="00325F44" w:rsidP="006E4750">
            <w:pPr>
              <w:rPr>
                <w:rStyle w:val="normaltextrun"/>
                <w:rFonts w:cs="Arial"/>
                <w:color w:val="000000"/>
              </w:rPr>
            </w:pPr>
            <w:r w:rsidRPr="005F2657">
              <w:rPr>
                <w:rStyle w:val="normaltextrun"/>
                <w:rFonts w:cs="Arial"/>
                <w:color w:val="000000"/>
              </w:rPr>
              <w:t>Reviewing our learning</w:t>
            </w:r>
            <w:r>
              <w:rPr>
                <w:rStyle w:val="normaltextrun"/>
                <w:rFonts w:cs="Arial"/>
                <w:color w:val="000000"/>
              </w:rPr>
              <w:t xml:space="preserve"> </w:t>
            </w:r>
            <w:r w:rsidRPr="005F2657">
              <w:rPr>
                <w:rStyle w:val="normaltextrun"/>
                <w:rFonts w:cs="Arial"/>
                <w:color w:val="000000"/>
              </w:rPr>
              <w:t>and</w:t>
            </w:r>
            <w:r>
              <w:rPr>
                <w:rStyle w:val="normaltextrun"/>
                <w:rFonts w:cs="Arial"/>
                <w:color w:val="000000"/>
              </w:rPr>
              <w:t xml:space="preserve"> </w:t>
            </w:r>
            <w:r w:rsidRPr="005F2657">
              <w:rPr>
                <w:rStyle w:val="normaltextrun"/>
                <w:rFonts w:cs="Arial"/>
                <w:color w:val="000000"/>
              </w:rPr>
              <w:t>development</w:t>
            </w:r>
            <w:r>
              <w:rPr>
                <w:rStyle w:val="normaltextrun"/>
                <w:rFonts w:cs="Arial"/>
                <w:color w:val="000000"/>
              </w:rPr>
              <w:t xml:space="preserve"> </w:t>
            </w:r>
            <w:r w:rsidRPr="005F2657">
              <w:rPr>
                <w:rStyle w:val="normaltextrun"/>
                <w:rFonts w:cs="Arial"/>
                <w:color w:val="000000"/>
              </w:rPr>
              <w:t>portfolio</w:t>
            </w:r>
            <w:r>
              <w:rPr>
                <w:rStyle w:val="normaltextrun"/>
                <w:rFonts w:cs="Arial"/>
                <w:color w:val="000000"/>
              </w:rPr>
              <w:t xml:space="preserve"> with a g</w:t>
            </w:r>
            <w:r w:rsidRPr="005F2657">
              <w:rPr>
                <w:rStyle w:val="normaltextrun"/>
                <w:rFonts w:cs="Arial"/>
                <w:color w:val="000000"/>
              </w:rPr>
              <w:t>reater understanding of skills and</w:t>
            </w:r>
            <w:r>
              <w:rPr>
                <w:rStyle w:val="normaltextrun"/>
                <w:rFonts w:cs="Arial"/>
                <w:color w:val="000000"/>
              </w:rPr>
              <w:t xml:space="preserve"> </w:t>
            </w:r>
            <w:r w:rsidRPr="005F2657">
              <w:rPr>
                <w:rStyle w:val="normaltextrun"/>
                <w:rFonts w:cs="Arial"/>
                <w:color w:val="000000"/>
              </w:rPr>
              <w:t>training</w:t>
            </w:r>
            <w:r>
              <w:rPr>
                <w:rStyle w:val="normaltextrun"/>
                <w:rFonts w:cs="Arial"/>
                <w:color w:val="000000"/>
              </w:rPr>
              <w:t xml:space="preserve"> </w:t>
            </w:r>
            <w:r w:rsidRPr="005F2657">
              <w:rPr>
                <w:rStyle w:val="normaltextrun"/>
                <w:rFonts w:cs="Arial"/>
                <w:color w:val="000000"/>
              </w:rPr>
              <w:t>needs</w:t>
            </w:r>
            <w:r>
              <w:rPr>
                <w:rStyle w:val="normaltextrun"/>
                <w:rFonts w:cs="Arial"/>
                <w:color w:val="000000"/>
              </w:rPr>
              <w:t>.</w:t>
            </w:r>
          </w:p>
        </w:tc>
        <w:tc>
          <w:tcPr>
            <w:tcW w:w="5233" w:type="dxa"/>
          </w:tcPr>
          <w:p w14:paraId="4D56B411" w14:textId="77777777" w:rsidR="00325F44" w:rsidRDefault="00325F44" w:rsidP="006E4750">
            <w:pPr>
              <w:rPr>
                <w:rStyle w:val="normaltextrun"/>
                <w:rFonts w:cs="Arial"/>
                <w:color w:val="000000"/>
              </w:rPr>
            </w:pPr>
            <w:r>
              <w:rPr>
                <w:rStyle w:val="normaltextrun"/>
                <w:rFonts w:cs="Arial"/>
                <w:color w:val="000000"/>
              </w:rPr>
              <w:t>A one stop shop for Technical Professionals Learning and Development has been set up and is located on SharePoint</w:t>
            </w:r>
          </w:p>
        </w:tc>
        <w:tc>
          <w:tcPr>
            <w:tcW w:w="751" w:type="dxa"/>
            <w:shd w:val="clear" w:color="auto" w:fill="538135" w:themeFill="accent6" w:themeFillShade="BF"/>
          </w:tcPr>
          <w:p w14:paraId="1246C2D3" w14:textId="77777777" w:rsidR="00325F44" w:rsidRDefault="00325F44" w:rsidP="006E4750">
            <w:pPr>
              <w:rPr>
                <w:rStyle w:val="normaltextrun"/>
                <w:rFonts w:cs="Arial"/>
                <w:color w:val="000000"/>
              </w:rPr>
            </w:pPr>
          </w:p>
        </w:tc>
      </w:tr>
      <w:tr w:rsidR="00325F44" w14:paraId="752ED3AD" w14:textId="77777777" w:rsidTr="006E4750">
        <w:tc>
          <w:tcPr>
            <w:tcW w:w="1697" w:type="dxa"/>
          </w:tcPr>
          <w:p w14:paraId="65226882" w14:textId="77777777" w:rsidR="00325F44" w:rsidRDefault="00325F44" w:rsidP="006E4750">
            <w:pPr>
              <w:rPr>
                <w:rStyle w:val="normaltextrun"/>
                <w:rFonts w:cs="Arial"/>
                <w:color w:val="000000"/>
              </w:rPr>
            </w:pPr>
            <w:r>
              <w:rPr>
                <w:rStyle w:val="normaltextrun"/>
                <w:rFonts w:cs="Arial"/>
                <w:color w:val="000000"/>
              </w:rPr>
              <w:t xml:space="preserve">Recognition, Career Development, Sustainability </w:t>
            </w:r>
          </w:p>
        </w:tc>
        <w:tc>
          <w:tcPr>
            <w:tcW w:w="2507" w:type="dxa"/>
          </w:tcPr>
          <w:p w14:paraId="74103A36" w14:textId="77777777" w:rsidR="00325F44" w:rsidRDefault="00325F44" w:rsidP="006E4750">
            <w:pPr>
              <w:rPr>
                <w:rStyle w:val="normaltextrun"/>
                <w:rFonts w:cs="Arial"/>
                <w:color w:val="000000"/>
              </w:rPr>
            </w:pPr>
            <w:r w:rsidRPr="005F2657">
              <w:rPr>
                <w:rStyle w:val="normaltextrun"/>
                <w:rFonts w:cs="Arial"/>
                <w:color w:val="000000"/>
              </w:rPr>
              <w:t>Develop</w:t>
            </w:r>
            <w:r>
              <w:rPr>
                <w:rStyle w:val="normaltextrun"/>
                <w:rFonts w:cs="Arial"/>
                <w:color w:val="000000"/>
              </w:rPr>
              <w:t xml:space="preserve"> t</w:t>
            </w:r>
            <w:r w:rsidRPr="005F2657">
              <w:rPr>
                <w:rStyle w:val="normaltextrun"/>
                <w:rFonts w:cs="Arial"/>
                <w:color w:val="000000"/>
              </w:rPr>
              <w:t>echnician specific</w:t>
            </w:r>
            <w:r>
              <w:rPr>
                <w:rStyle w:val="normaltextrun"/>
                <w:rFonts w:cs="Arial"/>
                <w:color w:val="000000"/>
              </w:rPr>
              <w:t xml:space="preserve"> </w:t>
            </w:r>
            <w:r w:rsidRPr="005F2657">
              <w:rPr>
                <w:rStyle w:val="normaltextrun"/>
                <w:rFonts w:cs="Arial"/>
                <w:color w:val="000000"/>
              </w:rPr>
              <w:t>professional career</w:t>
            </w:r>
            <w:r>
              <w:rPr>
                <w:rStyle w:val="normaltextrun"/>
                <w:rFonts w:cs="Arial"/>
                <w:color w:val="000000"/>
              </w:rPr>
              <w:t xml:space="preserve"> </w:t>
            </w:r>
            <w:r w:rsidRPr="005F2657">
              <w:rPr>
                <w:rStyle w:val="normaltextrun"/>
                <w:rFonts w:cs="Arial"/>
                <w:color w:val="000000"/>
              </w:rPr>
              <w:t>paths/frameworks</w:t>
            </w:r>
            <w:r>
              <w:rPr>
                <w:rStyle w:val="normaltextrun"/>
                <w:rFonts w:cs="Arial"/>
                <w:color w:val="000000"/>
              </w:rPr>
              <w:t xml:space="preserve"> </w:t>
            </w:r>
            <w:r w:rsidRPr="005F2657">
              <w:rPr>
                <w:rStyle w:val="normaltextrun"/>
                <w:rFonts w:cs="Arial"/>
                <w:color w:val="000000"/>
              </w:rPr>
              <w:t>which</w:t>
            </w:r>
            <w:r>
              <w:rPr>
                <w:rStyle w:val="normaltextrun"/>
                <w:rFonts w:cs="Arial"/>
                <w:color w:val="000000"/>
              </w:rPr>
              <w:t xml:space="preserve"> </w:t>
            </w:r>
            <w:r w:rsidRPr="005F2657">
              <w:rPr>
                <w:rStyle w:val="normaltextrun"/>
                <w:rFonts w:cs="Arial"/>
                <w:color w:val="000000"/>
              </w:rPr>
              <w:t>clearly document</w:t>
            </w:r>
            <w:r>
              <w:rPr>
                <w:rStyle w:val="normaltextrun"/>
                <w:rFonts w:cs="Arial"/>
                <w:color w:val="000000"/>
              </w:rPr>
              <w:t xml:space="preserve"> </w:t>
            </w:r>
            <w:r w:rsidRPr="005F2657">
              <w:rPr>
                <w:rStyle w:val="normaltextrun"/>
                <w:rFonts w:cs="Arial"/>
                <w:color w:val="000000"/>
              </w:rPr>
              <w:t>progression opportunities</w:t>
            </w:r>
            <w:r>
              <w:rPr>
                <w:rStyle w:val="normaltextrun"/>
                <w:rFonts w:cs="Arial"/>
                <w:color w:val="000000"/>
              </w:rPr>
              <w:t>.</w:t>
            </w:r>
          </w:p>
        </w:tc>
        <w:tc>
          <w:tcPr>
            <w:tcW w:w="5233" w:type="dxa"/>
          </w:tcPr>
          <w:p w14:paraId="2D96148B" w14:textId="77777777" w:rsidR="00325F44" w:rsidRDefault="00325F44" w:rsidP="006E4750">
            <w:pPr>
              <w:rPr>
                <w:rStyle w:val="normaltextrun"/>
                <w:rFonts w:cs="Arial"/>
                <w:color w:val="000000"/>
              </w:rPr>
            </w:pPr>
            <w:r>
              <w:rPr>
                <w:rStyle w:val="normaltextrun"/>
                <w:rFonts w:cs="Arial"/>
                <w:color w:val="000000"/>
              </w:rPr>
              <w:t>A Career Framework for Technical Professionals have been developed with publication scheduled for Jan/2024</w:t>
            </w:r>
          </w:p>
        </w:tc>
        <w:tc>
          <w:tcPr>
            <w:tcW w:w="751" w:type="dxa"/>
            <w:shd w:val="clear" w:color="auto" w:fill="538135" w:themeFill="accent6" w:themeFillShade="BF"/>
          </w:tcPr>
          <w:p w14:paraId="719ED3C3" w14:textId="77777777" w:rsidR="00325F44" w:rsidRDefault="00325F44" w:rsidP="006E4750">
            <w:pPr>
              <w:rPr>
                <w:rStyle w:val="normaltextrun"/>
                <w:rFonts w:cs="Arial"/>
                <w:color w:val="000000"/>
              </w:rPr>
            </w:pPr>
          </w:p>
        </w:tc>
      </w:tr>
      <w:tr w:rsidR="00325F44" w14:paraId="3F685291" w14:textId="77777777" w:rsidTr="006E4750">
        <w:tc>
          <w:tcPr>
            <w:tcW w:w="1697" w:type="dxa"/>
          </w:tcPr>
          <w:p w14:paraId="207B8D29" w14:textId="77777777" w:rsidR="00325F44" w:rsidRDefault="00325F44" w:rsidP="006E4750">
            <w:pPr>
              <w:rPr>
                <w:rStyle w:val="normaltextrun"/>
                <w:rFonts w:cs="Arial"/>
                <w:color w:val="000000"/>
              </w:rPr>
            </w:pPr>
            <w:r>
              <w:rPr>
                <w:rStyle w:val="normaltextrun"/>
                <w:rFonts w:cs="Arial"/>
                <w:color w:val="000000"/>
              </w:rPr>
              <w:lastRenderedPageBreak/>
              <w:t>Career Development, Sustainability</w:t>
            </w:r>
          </w:p>
        </w:tc>
        <w:tc>
          <w:tcPr>
            <w:tcW w:w="2507" w:type="dxa"/>
          </w:tcPr>
          <w:p w14:paraId="3EE3145E" w14:textId="77777777" w:rsidR="00325F44" w:rsidRPr="005F2657" w:rsidRDefault="00325F44" w:rsidP="006E4750">
            <w:pPr>
              <w:rPr>
                <w:rStyle w:val="normaltextrun"/>
                <w:rFonts w:cs="Arial"/>
                <w:color w:val="000000"/>
              </w:rPr>
            </w:pPr>
            <w:r>
              <w:t>Workforce planning, opening earlier career entry points via apprentices, apprenticeship levy used to develop existing staff, job shadowing and rotational training programmes</w:t>
            </w:r>
          </w:p>
        </w:tc>
        <w:tc>
          <w:tcPr>
            <w:tcW w:w="5233" w:type="dxa"/>
          </w:tcPr>
          <w:p w14:paraId="28913603" w14:textId="77777777" w:rsidR="00325F44" w:rsidRDefault="00325F44" w:rsidP="006E4750">
            <w:pPr>
              <w:rPr>
                <w:rStyle w:val="normaltextrun"/>
                <w:rFonts w:cs="Arial"/>
                <w:color w:val="000000"/>
              </w:rPr>
            </w:pPr>
            <w:r>
              <w:rPr>
                <w:rStyle w:val="normaltextrun"/>
                <w:rFonts w:cs="Arial"/>
                <w:color w:val="000000"/>
              </w:rPr>
              <w:t>Still ongoing, however flagged as a priority for the newly formed Technical Skills Development Hub (TSDH)</w:t>
            </w:r>
          </w:p>
        </w:tc>
        <w:tc>
          <w:tcPr>
            <w:tcW w:w="751" w:type="dxa"/>
            <w:shd w:val="clear" w:color="auto" w:fill="FF0000"/>
          </w:tcPr>
          <w:p w14:paraId="65D1DF17" w14:textId="77777777" w:rsidR="00325F44" w:rsidRDefault="00325F44" w:rsidP="006E4750">
            <w:pPr>
              <w:rPr>
                <w:rStyle w:val="normaltextrun"/>
                <w:rFonts w:cs="Arial"/>
                <w:color w:val="000000"/>
              </w:rPr>
            </w:pPr>
          </w:p>
        </w:tc>
      </w:tr>
      <w:tr w:rsidR="00325F44" w14:paraId="3CFB2B14" w14:textId="77777777" w:rsidTr="006E4750">
        <w:tc>
          <w:tcPr>
            <w:tcW w:w="1697" w:type="dxa"/>
          </w:tcPr>
          <w:p w14:paraId="20345D05" w14:textId="77777777" w:rsidR="00325F44" w:rsidRDefault="00325F44" w:rsidP="006E4750">
            <w:pPr>
              <w:rPr>
                <w:rStyle w:val="normaltextrun"/>
                <w:rFonts w:cs="Arial"/>
                <w:color w:val="000000"/>
              </w:rPr>
            </w:pPr>
            <w:r>
              <w:rPr>
                <w:rStyle w:val="normaltextrun"/>
                <w:rFonts w:cs="Arial"/>
                <w:color w:val="000000"/>
              </w:rPr>
              <w:t>Visibility, Recognition, Career Development</w:t>
            </w:r>
          </w:p>
        </w:tc>
        <w:tc>
          <w:tcPr>
            <w:tcW w:w="2507" w:type="dxa"/>
          </w:tcPr>
          <w:p w14:paraId="13E14237" w14:textId="77777777" w:rsidR="00325F44" w:rsidRPr="00B21890" w:rsidRDefault="00325F44" w:rsidP="006E4750">
            <w:pPr>
              <w:pStyle w:val="Default"/>
              <w:rPr>
                <w:rFonts w:ascii="Arial" w:eastAsiaTheme="minorEastAsia" w:hAnsi="Arial" w:cs="Times New Roman"/>
                <w:color w:val="auto"/>
                <w:lang w:eastAsia="ja-JP"/>
              </w:rPr>
            </w:pPr>
            <w:r w:rsidRPr="00B21890">
              <w:rPr>
                <w:rFonts w:ascii="Arial" w:eastAsiaTheme="minorEastAsia" w:hAnsi="Arial" w:cs="Times New Roman"/>
                <w:color w:val="auto"/>
                <w:lang w:eastAsia="ja-JP"/>
              </w:rPr>
              <w:t>UCL to gain Science Council Employer Champion award</w:t>
            </w:r>
            <w:r>
              <w:rPr>
                <w:rFonts w:ascii="Arial" w:eastAsiaTheme="minorEastAsia" w:hAnsi="Arial" w:cs="Times New Roman"/>
                <w:color w:val="auto"/>
                <w:lang w:eastAsia="ja-JP"/>
              </w:rPr>
              <w:t>.</w:t>
            </w:r>
            <w:r w:rsidRPr="00B21890">
              <w:rPr>
                <w:rFonts w:ascii="Arial" w:eastAsiaTheme="minorEastAsia" w:hAnsi="Arial" w:cs="Times New Roman"/>
                <w:color w:val="auto"/>
                <w:lang w:eastAsia="ja-JP"/>
              </w:rPr>
              <w:t xml:space="preserve"> </w:t>
            </w:r>
          </w:p>
          <w:p w14:paraId="43B5F0B4" w14:textId="77777777" w:rsidR="00325F44" w:rsidRPr="005F2657" w:rsidRDefault="00325F44" w:rsidP="006E4750">
            <w:pPr>
              <w:rPr>
                <w:rStyle w:val="normaltextrun"/>
                <w:rFonts w:cs="Arial"/>
                <w:color w:val="000000"/>
              </w:rPr>
            </w:pPr>
          </w:p>
        </w:tc>
        <w:tc>
          <w:tcPr>
            <w:tcW w:w="5233" w:type="dxa"/>
          </w:tcPr>
          <w:p w14:paraId="35DFF020" w14:textId="77777777" w:rsidR="00325F44" w:rsidRDefault="00325F44" w:rsidP="006E4750">
            <w:pPr>
              <w:rPr>
                <w:rStyle w:val="normaltextrun"/>
                <w:rFonts w:cs="Arial"/>
                <w:color w:val="000000"/>
              </w:rPr>
            </w:pPr>
            <w:r>
              <w:rPr>
                <w:rStyle w:val="normaltextrun"/>
                <w:rFonts w:cs="Arial"/>
                <w:color w:val="000000"/>
              </w:rPr>
              <w:t>Award achieved in July 2022 (</w:t>
            </w:r>
            <w:hyperlink r:id="rId6" w:history="1">
              <w:r w:rsidRPr="00503E00">
                <w:rPr>
                  <w:rStyle w:val="Hyperlink"/>
                  <w:rFonts w:cs="Arial"/>
                </w:rPr>
                <w:t>https://sciencecouncil.org/blog/2022/08/02/ucl-become-our-latest-employer-champion/</w:t>
              </w:r>
            </w:hyperlink>
            <w:r>
              <w:rPr>
                <w:rStyle w:val="normaltextrun"/>
                <w:rFonts w:cs="Arial"/>
                <w:color w:val="000000"/>
              </w:rPr>
              <w:t xml:space="preserve"> )</w:t>
            </w:r>
          </w:p>
        </w:tc>
        <w:tc>
          <w:tcPr>
            <w:tcW w:w="751" w:type="dxa"/>
            <w:shd w:val="clear" w:color="auto" w:fill="538135" w:themeFill="accent6" w:themeFillShade="BF"/>
          </w:tcPr>
          <w:p w14:paraId="6B0BC115" w14:textId="77777777" w:rsidR="00325F44" w:rsidRDefault="00325F44" w:rsidP="006E4750">
            <w:pPr>
              <w:rPr>
                <w:rStyle w:val="normaltextrun"/>
                <w:rFonts w:cs="Arial"/>
                <w:color w:val="000000"/>
              </w:rPr>
            </w:pPr>
          </w:p>
        </w:tc>
      </w:tr>
      <w:tr w:rsidR="00325F44" w14:paraId="636D33E5" w14:textId="77777777" w:rsidTr="006E4750">
        <w:tc>
          <w:tcPr>
            <w:tcW w:w="1697" w:type="dxa"/>
          </w:tcPr>
          <w:p w14:paraId="0AB08033" w14:textId="77777777" w:rsidR="00325F44" w:rsidRDefault="00325F44" w:rsidP="006E4750">
            <w:pPr>
              <w:rPr>
                <w:rStyle w:val="normaltextrun"/>
                <w:rFonts w:cs="Arial"/>
                <w:color w:val="000000"/>
              </w:rPr>
            </w:pPr>
            <w:r>
              <w:rPr>
                <w:rStyle w:val="normaltextrun"/>
                <w:rFonts w:cs="Arial"/>
                <w:color w:val="000000"/>
              </w:rPr>
              <w:t>Visibility, Recognition</w:t>
            </w:r>
          </w:p>
        </w:tc>
        <w:tc>
          <w:tcPr>
            <w:tcW w:w="2507" w:type="dxa"/>
          </w:tcPr>
          <w:p w14:paraId="3032E784" w14:textId="77777777" w:rsidR="00325F44" w:rsidRPr="009757C8" w:rsidRDefault="00325F44" w:rsidP="006E4750">
            <w:pPr>
              <w:pStyle w:val="Default"/>
              <w:rPr>
                <w:rFonts w:ascii="Arial" w:eastAsiaTheme="minorEastAsia" w:hAnsi="Arial" w:cs="Times New Roman"/>
                <w:color w:val="auto"/>
                <w:lang w:eastAsia="ja-JP"/>
              </w:rPr>
            </w:pPr>
            <w:r w:rsidRPr="009757C8">
              <w:rPr>
                <w:rFonts w:ascii="Arial" w:eastAsiaTheme="minorEastAsia" w:hAnsi="Arial" w:cs="Times New Roman"/>
                <w:color w:val="auto"/>
                <w:lang w:eastAsia="ja-JP"/>
              </w:rPr>
              <w:t xml:space="preserve">A consistent policy that where technicians have contributed to research outputs and grants, they are named as authors. </w:t>
            </w:r>
          </w:p>
          <w:p w14:paraId="2BE87544" w14:textId="77777777" w:rsidR="00325F44" w:rsidRPr="005F2657" w:rsidRDefault="00325F44" w:rsidP="006E4750">
            <w:pPr>
              <w:rPr>
                <w:rStyle w:val="normaltextrun"/>
                <w:rFonts w:cs="Arial"/>
                <w:color w:val="000000"/>
              </w:rPr>
            </w:pPr>
          </w:p>
        </w:tc>
        <w:tc>
          <w:tcPr>
            <w:tcW w:w="5233" w:type="dxa"/>
          </w:tcPr>
          <w:p w14:paraId="0FE78208" w14:textId="77777777" w:rsidR="00325F44" w:rsidRDefault="00325F44" w:rsidP="006E4750">
            <w:pPr>
              <w:rPr>
                <w:rStyle w:val="normaltextrun"/>
                <w:rFonts w:cs="Arial"/>
                <w:color w:val="000000"/>
              </w:rPr>
            </w:pPr>
            <w:r w:rsidRPr="40F7FCC8">
              <w:rPr>
                <w:rStyle w:val="normaltextrun"/>
                <w:rFonts w:cs="Arial"/>
                <w:color w:val="000000" w:themeColor="text1"/>
              </w:rPr>
              <w:t>A guideline has been created by a working group from TMG. The document is being reviewed by UCL Research Culture and after that will be sent to RIGE</w:t>
            </w:r>
            <w:r>
              <w:rPr>
                <w:rStyle w:val="normaltextrun"/>
                <w:rFonts w:cs="Arial"/>
                <w:color w:val="000000" w:themeColor="text1"/>
              </w:rPr>
              <w:t xml:space="preserve"> (UCL Research Innovation and Global Engagement)</w:t>
            </w:r>
            <w:r w:rsidRPr="40F7FCC8">
              <w:rPr>
                <w:rStyle w:val="normaltextrun"/>
                <w:rFonts w:cs="Arial"/>
                <w:color w:val="000000" w:themeColor="text1"/>
              </w:rPr>
              <w:t xml:space="preserve"> for advice </w:t>
            </w:r>
            <w:r>
              <w:rPr>
                <w:rStyle w:val="normaltextrun"/>
                <w:rFonts w:cs="Arial"/>
                <w:color w:val="000000" w:themeColor="text1"/>
              </w:rPr>
              <w:t>about</w:t>
            </w:r>
            <w:r w:rsidRPr="40F7FCC8">
              <w:rPr>
                <w:rStyle w:val="normaltextrun"/>
                <w:rFonts w:cs="Arial"/>
                <w:color w:val="000000" w:themeColor="text1"/>
              </w:rPr>
              <w:t xml:space="preserve"> appropriate governance</w:t>
            </w:r>
          </w:p>
        </w:tc>
        <w:tc>
          <w:tcPr>
            <w:tcW w:w="751" w:type="dxa"/>
            <w:shd w:val="clear" w:color="auto" w:fill="FFFF00"/>
          </w:tcPr>
          <w:p w14:paraId="3F741598" w14:textId="77777777" w:rsidR="00325F44" w:rsidRDefault="00325F44" w:rsidP="006E4750">
            <w:pPr>
              <w:rPr>
                <w:rStyle w:val="normaltextrun"/>
                <w:rFonts w:cs="Arial"/>
                <w:color w:val="000000"/>
              </w:rPr>
            </w:pPr>
          </w:p>
        </w:tc>
      </w:tr>
      <w:tr w:rsidR="00325F44" w14:paraId="67B7BB92" w14:textId="77777777" w:rsidTr="006E4750">
        <w:tc>
          <w:tcPr>
            <w:tcW w:w="1697" w:type="dxa"/>
          </w:tcPr>
          <w:p w14:paraId="6F6CC390" w14:textId="77777777" w:rsidR="00325F44" w:rsidRDefault="00325F44" w:rsidP="006E4750">
            <w:pPr>
              <w:rPr>
                <w:rStyle w:val="normaltextrun"/>
                <w:rFonts w:cs="Arial"/>
                <w:color w:val="000000"/>
              </w:rPr>
            </w:pPr>
            <w:r>
              <w:rPr>
                <w:rStyle w:val="normaltextrun"/>
                <w:rFonts w:cs="Arial"/>
                <w:color w:val="000000"/>
              </w:rPr>
              <w:t>Visibility, Recognition</w:t>
            </w:r>
          </w:p>
        </w:tc>
        <w:tc>
          <w:tcPr>
            <w:tcW w:w="2507" w:type="dxa"/>
          </w:tcPr>
          <w:p w14:paraId="3A975051" w14:textId="77777777" w:rsidR="00325F44" w:rsidRPr="00F216B4" w:rsidRDefault="00325F44" w:rsidP="006E4750">
            <w:pPr>
              <w:pStyle w:val="Default"/>
              <w:rPr>
                <w:rStyle w:val="normaltextrun"/>
                <w:sz w:val="22"/>
                <w:szCs w:val="22"/>
              </w:rPr>
            </w:pPr>
            <w:r w:rsidRPr="00F216B4">
              <w:rPr>
                <w:rFonts w:ascii="Arial" w:eastAsiaTheme="minorEastAsia" w:hAnsi="Arial" w:cs="Times New Roman"/>
                <w:color w:val="auto"/>
                <w:lang w:eastAsia="ja-JP"/>
              </w:rPr>
              <w:t>Annual Technician Conference and awards ceremony</w:t>
            </w:r>
            <w:r>
              <w:rPr>
                <w:sz w:val="22"/>
                <w:szCs w:val="22"/>
              </w:rPr>
              <w:t xml:space="preserve"> </w:t>
            </w:r>
          </w:p>
        </w:tc>
        <w:tc>
          <w:tcPr>
            <w:tcW w:w="5233" w:type="dxa"/>
          </w:tcPr>
          <w:p w14:paraId="59F10792" w14:textId="77777777" w:rsidR="00325F44" w:rsidRDefault="00325F44" w:rsidP="006E4750">
            <w:pPr>
              <w:rPr>
                <w:rStyle w:val="normaltextrun"/>
                <w:rFonts w:cs="Arial"/>
                <w:color w:val="000000"/>
              </w:rPr>
            </w:pPr>
            <w:r w:rsidRPr="625DFD81">
              <w:rPr>
                <w:rStyle w:val="normaltextrun"/>
                <w:rFonts w:cs="Arial"/>
                <w:color w:val="000000" w:themeColor="text1"/>
              </w:rPr>
              <w:t>The inaugural ‘Technical Staff Showcase 2023’ was delivered with great success on 30</w:t>
            </w:r>
            <w:r w:rsidRPr="625DFD81">
              <w:rPr>
                <w:rStyle w:val="normaltextrun"/>
                <w:rFonts w:cs="Arial"/>
                <w:color w:val="000000" w:themeColor="text1"/>
                <w:vertAlign w:val="superscript"/>
              </w:rPr>
              <w:t>th</w:t>
            </w:r>
            <w:r w:rsidRPr="625DFD81">
              <w:rPr>
                <w:rStyle w:val="normaltextrun"/>
                <w:rFonts w:cs="Arial"/>
                <w:color w:val="000000" w:themeColor="text1"/>
              </w:rPr>
              <w:t xml:space="preserve"> March 2023. The second showcase event will be delivered on 12</w:t>
            </w:r>
            <w:r w:rsidRPr="625DFD81">
              <w:rPr>
                <w:rStyle w:val="normaltextrun"/>
                <w:rFonts w:cs="Arial"/>
                <w:color w:val="000000" w:themeColor="text1"/>
                <w:vertAlign w:val="superscript"/>
              </w:rPr>
              <w:t>th</w:t>
            </w:r>
            <w:r w:rsidRPr="625DFD81">
              <w:rPr>
                <w:rStyle w:val="normaltextrun"/>
                <w:rFonts w:cs="Arial"/>
                <w:color w:val="000000" w:themeColor="text1"/>
              </w:rPr>
              <w:t xml:space="preserve"> April 2024. A ‘Technical Professional of the Year Award’ will be part of the Showcase event in April 2024. The award ceremony </w:t>
            </w:r>
            <w:r>
              <w:rPr>
                <w:rStyle w:val="normaltextrun"/>
                <w:rFonts w:cs="Arial"/>
                <w:color w:val="000000" w:themeColor="text1"/>
              </w:rPr>
              <w:t>might</w:t>
            </w:r>
            <w:r w:rsidRPr="625DFD81">
              <w:rPr>
                <w:rStyle w:val="normaltextrun"/>
                <w:rFonts w:cs="Arial"/>
                <w:color w:val="000000" w:themeColor="text1"/>
              </w:rPr>
              <w:t xml:space="preserve"> also announce the RTTPs who obtained their professional registration in the past year. </w:t>
            </w:r>
          </w:p>
        </w:tc>
        <w:tc>
          <w:tcPr>
            <w:tcW w:w="751" w:type="dxa"/>
            <w:shd w:val="clear" w:color="auto" w:fill="538135" w:themeFill="accent6" w:themeFillShade="BF"/>
          </w:tcPr>
          <w:p w14:paraId="0EBC4535" w14:textId="77777777" w:rsidR="00325F44" w:rsidRDefault="00325F44" w:rsidP="006E4750">
            <w:pPr>
              <w:rPr>
                <w:rStyle w:val="normaltextrun"/>
                <w:rFonts w:cs="Arial"/>
                <w:color w:val="000000"/>
              </w:rPr>
            </w:pPr>
          </w:p>
        </w:tc>
      </w:tr>
    </w:tbl>
    <w:p w14:paraId="0EA3CE85" w14:textId="77777777" w:rsidR="00325F44" w:rsidRDefault="00325F44" w:rsidP="00325F44">
      <w:pPr>
        <w:rPr>
          <w:rStyle w:val="normaltextrun"/>
          <w:rFonts w:cs="Arial"/>
          <w:color w:val="000000"/>
        </w:rPr>
      </w:pPr>
    </w:p>
    <w:p w14:paraId="3D368F2C" w14:textId="77777777" w:rsidR="00325F44" w:rsidRDefault="00325F44" w:rsidP="00325F44">
      <w:pPr>
        <w:spacing w:after="160" w:line="259" w:lineRule="auto"/>
        <w:rPr>
          <w:rStyle w:val="normaltextrun"/>
          <w:rFonts w:cs="Arial"/>
          <w:color w:val="000000"/>
        </w:rPr>
      </w:pPr>
      <w:r>
        <w:rPr>
          <w:rStyle w:val="normaltextrun"/>
          <w:rFonts w:cs="Arial"/>
          <w:color w:val="000000"/>
        </w:rPr>
        <w:br w:type="page"/>
      </w:r>
    </w:p>
    <w:p w14:paraId="711F5011" w14:textId="77777777" w:rsidR="00325F44" w:rsidRPr="00F10BC9" w:rsidRDefault="00325F44" w:rsidP="00325F44">
      <w:r w:rsidRPr="00F10BC9">
        <w:lastRenderedPageBreak/>
        <w:t>Appendix 2: Action Plan 2024-2025.</w:t>
      </w:r>
    </w:p>
    <w:p w14:paraId="594F8825" w14:textId="77777777" w:rsidR="00325F44" w:rsidRPr="00F10BC9" w:rsidRDefault="00325F44" w:rsidP="00325F44"/>
    <w:p w14:paraId="5B26E9E7" w14:textId="77777777" w:rsidR="00325F44" w:rsidRPr="00F10BC9" w:rsidRDefault="00325F44" w:rsidP="00325F44"/>
    <w:tbl>
      <w:tblPr>
        <w:tblStyle w:val="TableGrid"/>
        <w:tblW w:w="0" w:type="auto"/>
        <w:tblLook w:val="04A0" w:firstRow="1" w:lastRow="0" w:firstColumn="1" w:lastColumn="0" w:noHBand="0" w:noVBand="1"/>
      </w:tblPr>
      <w:tblGrid>
        <w:gridCol w:w="2547"/>
        <w:gridCol w:w="2693"/>
        <w:gridCol w:w="4394"/>
      </w:tblGrid>
      <w:tr w:rsidR="00325F44" w14:paraId="189E1D4F" w14:textId="77777777" w:rsidTr="006E4750">
        <w:tc>
          <w:tcPr>
            <w:tcW w:w="2547" w:type="dxa"/>
          </w:tcPr>
          <w:p w14:paraId="7EE8236C" w14:textId="77777777" w:rsidR="00325F44" w:rsidRPr="00F10BC9" w:rsidRDefault="00325F44" w:rsidP="006E4750">
            <w:r w:rsidRPr="00F10BC9">
              <w:t>Theme</w:t>
            </w:r>
          </w:p>
        </w:tc>
        <w:tc>
          <w:tcPr>
            <w:tcW w:w="2693" w:type="dxa"/>
          </w:tcPr>
          <w:p w14:paraId="2AA3E4A4" w14:textId="77777777" w:rsidR="00325F44" w:rsidRPr="00F10BC9" w:rsidRDefault="00325F44" w:rsidP="006E4750">
            <w:r w:rsidRPr="00F10BC9">
              <w:t>Actions</w:t>
            </w:r>
          </w:p>
        </w:tc>
        <w:tc>
          <w:tcPr>
            <w:tcW w:w="4394" w:type="dxa"/>
          </w:tcPr>
          <w:p w14:paraId="6C872B89" w14:textId="77777777" w:rsidR="00325F44" w:rsidRPr="00F10BC9" w:rsidRDefault="00325F44" w:rsidP="006E4750">
            <w:r w:rsidRPr="00F10BC9">
              <w:t>Key Stakeholders</w:t>
            </w:r>
          </w:p>
        </w:tc>
      </w:tr>
      <w:tr w:rsidR="00325F44" w:rsidRPr="00BE7456" w14:paraId="3E4C68CA" w14:textId="77777777" w:rsidTr="006E4750">
        <w:tc>
          <w:tcPr>
            <w:tcW w:w="2547" w:type="dxa"/>
          </w:tcPr>
          <w:p w14:paraId="04D720F7" w14:textId="77777777" w:rsidR="00325F44" w:rsidRPr="00F10BC9" w:rsidRDefault="00325F44" w:rsidP="006E4750">
            <w:r w:rsidRPr="00F10BC9">
              <w:t>Visibility, Recognition, Career Development and Sustainability</w:t>
            </w:r>
          </w:p>
        </w:tc>
        <w:tc>
          <w:tcPr>
            <w:tcW w:w="2693" w:type="dxa"/>
          </w:tcPr>
          <w:p w14:paraId="4C185F39" w14:textId="77777777" w:rsidR="00325F44" w:rsidRPr="00F10BC9" w:rsidRDefault="00325F44" w:rsidP="006E4750">
            <w:r w:rsidRPr="00F10BC9">
              <w:t>Establish the recently created Technical Skills Development Hub (TSDH), by hiring a manager and developing a Strategy Document</w:t>
            </w:r>
          </w:p>
        </w:tc>
        <w:tc>
          <w:tcPr>
            <w:tcW w:w="4394" w:type="dxa"/>
          </w:tcPr>
          <w:p w14:paraId="5E09F016" w14:textId="77777777" w:rsidR="00325F44" w:rsidRPr="00F10BC9" w:rsidRDefault="00325F44" w:rsidP="006E4750">
            <w:r w:rsidRPr="00F10BC9">
              <w:t>Vice President Operations (VP OPS), Senior Sponsors, Technical Staff function institutional lead</w:t>
            </w:r>
          </w:p>
        </w:tc>
      </w:tr>
      <w:tr w:rsidR="00325F44" w:rsidRPr="00BE7456" w14:paraId="5D43ECF2" w14:textId="77777777" w:rsidTr="006E4750">
        <w:tc>
          <w:tcPr>
            <w:tcW w:w="2547" w:type="dxa"/>
          </w:tcPr>
          <w:p w14:paraId="145CDD56" w14:textId="77777777" w:rsidR="00325F44" w:rsidRPr="00F10BC9" w:rsidRDefault="00325F44" w:rsidP="006E4750">
            <w:r w:rsidRPr="00F10BC9">
              <w:t>Sustainability</w:t>
            </w:r>
          </w:p>
        </w:tc>
        <w:tc>
          <w:tcPr>
            <w:tcW w:w="2693" w:type="dxa"/>
          </w:tcPr>
          <w:p w14:paraId="49A3D873" w14:textId="77777777" w:rsidR="00325F44" w:rsidRPr="00F10BC9" w:rsidRDefault="00325F44" w:rsidP="006E4750">
            <w:r w:rsidRPr="00F10BC9">
              <w:t>Move the Technician Commitment to Business as usual (BAU), led by the technical staff function and supported by the TSDH and TMG</w:t>
            </w:r>
          </w:p>
        </w:tc>
        <w:tc>
          <w:tcPr>
            <w:tcW w:w="4394" w:type="dxa"/>
          </w:tcPr>
          <w:p w14:paraId="2DB39410" w14:textId="77777777" w:rsidR="00325F44" w:rsidRPr="00F10BC9" w:rsidRDefault="00325F44" w:rsidP="006E4750">
            <w:r w:rsidRPr="00F10BC9">
              <w:t>Technical Staff institutional function lead, TSDH and TMG</w:t>
            </w:r>
          </w:p>
        </w:tc>
      </w:tr>
      <w:tr w:rsidR="00325F44" w:rsidRPr="00BE7456" w14:paraId="3A54923C" w14:textId="77777777" w:rsidTr="006E4750">
        <w:tc>
          <w:tcPr>
            <w:tcW w:w="2547" w:type="dxa"/>
          </w:tcPr>
          <w:p w14:paraId="11E5F687" w14:textId="77777777" w:rsidR="00325F44" w:rsidRPr="00F10BC9" w:rsidRDefault="00325F44" w:rsidP="006E4750">
            <w:r w:rsidRPr="00F10BC9">
              <w:t xml:space="preserve">Recognition, Career Development, Sustainability, Visibility. </w:t>
            </w:r>
          </w:p>
        </w:tc>
        <w:tc>
          <w:tcPr>
            <w:tcW w:w="2693" w:type="dxa"/>
          </w:tcPr>
          <w:p w14:paraId="3E2F6120" w14:textId="77777777" w:rsidR="00325F44" w:rsidRPr="00F10BC9" w:rsidRDefault="00325F44" w:rsidP="006E4750">
            <w:r w:rsidRPr="00F10BC9">
              <w:t>Develop an EDI technical group</w:t>
            </w:r>
          </w:p>
        </w:tc>
        <w:tc>
          <w:tcPr>
            <w:tcW w:w="4394" w:type="dxa"/>
          </w:tcPr>
          <w:p w14:paraId="3AADD86D" w14:textId="77777777" w:rsidR="00325F44" w:rsidRPr="00F10BC9" w:rsidRDefault="00325F44" w:rsidP="006E4750">
            <w:r w:rsidRPr="00F10BC9">
              <w:t>TSDH. UCL EDI</w:t>
            </w:r>
          </w:p>
        </w:tc>
      </w:tr>
      <w:tr w:rsidR="00325F44" w:rsidRPr="00BE7456" w14:paraId="2100FBB6" w14:textId="77777777" w:rsidTr="006E4750">
        <w:tc>
          <w:tcPr>
            <w:tcW w:w="2547" w:type="dxa"/>
          </w:tcPr>
          <w:p w14:paraId="597AC9F5" w14:textId="77777777" w:rsidR="00325F44" w:rsidRPr="00F10BC9" w:rsidRDefault="00325F44" w:rsidP="006E4750">
            <w:r w:rsidRPr="00F10BC9">
              <w:t>Career development, Sustainability</w:t>
            </w:r>
          </w:p>
        </w:tc>
        <w:tc>
          <w:tcPr>
            <w:tcW w:w="2693" w:type="dxa"/>
          </w:tcPr>
          <w:p w14:paraId="56A2A4C1" w14:textId="77777777" w:rsidR="00325F44" w:rsidRPr="00F10BC9" w:rsidRDefault="00325F44" w:rsidP="006E4750">
            <w:r w:rsidRPr="00F10BC9">
              <w:t>Work with OD to improve UCL’s training opportunities uptake by technical professionals</w:t>
            </w:r>
          </w:p>
        </w:tc>
        <w:tc>
          <w:tcPr>
            <w:tcW w:w="4394" w:type="dxa"/>
          </w:tcPr>
          <w:p w14:paraId="38975768" w14:textId="77777777" w:rsidR="00325F44" w:rsidRPr="00F10BC9" w:rsidRDefault="00325F44" w:rsidP="006E4750">
            <w:r w:rsidRPr="00F10BC9">
              <w:t>TSDH, UCL OD</w:t>
            </w:r>
          </w:p>
        </w:tc>
      </w:tr>
      <w:tr w:rsidR="00325F44" w:rsidRPr="00BE7456" w14:paraId="61CC8913" w14:textId="77777777" w:rsidTr="006E4750">
        <w:tc>
          <w:tcPr>
            <w:tcW w:w="2547" w:type="dxa"/>
          </w:tcPr>
          <w:p w14:paraId="3DC5412B" w14:textId="77777777" w:rsidR="00325F44" w:rsidRPr="00F10BC9" w:rsidRDefault="00325F44" w:rsidP="006E4750">
            <w:r w:rsidRPr="00F10BC9">
              <w:t>Career development, Sustainability</w:t>
            </w:r>
          </w:p>
        </w:tc>
        <w:tc>
          <w:tcPr>
            <w:tcW w:w="2693" w:type="dxa"/>
          </w:tcPr>
          <w:p w14:paraId="5361F679" w14:textId="77777777" w:rsidR="00325F44" w:rsidRPr="00F10BC9" w:rsidRDefault="00325F44" w:rsidP="006E4750">
            <w:r w:rsidRPr="00F10BC9">
              <w:t>Develop ‘Learning Pathways’ document/guideline in line with the four job families for technical professionals (</w:t>
            </w:r>
            <w:r>
              <w:t xml:space="preserve">Research, Education, Enterprise and external Engagement and General Workshop and Laboratory services) </w:t>
            </w:r>
          </w:p>
        </w:tc>
        <w:tc>
          <w:tcPr>
            <w:tcW w:w="4394" w:type="dxa"/>
          </w:tcPr>
          <w:p w14:paraId="7039505A" w14:textId="77777777" w:rsidR="00325F44" w:rsidRPr="00F10BC9" w:rsidRDefault="00325F44" w:rsidP="006E4750">
            <w:r w:rsidRPr="00F10BC9">
              <w:t xml:space="preserve">TMG, Academics, TSDH, </w:t>
            </w:r>
            <w:proofErr w:type="spellStart"/>
            <w:r w:rsidRPr="00F10BC9">
              <w:t>DoOs</w:t>
            </w:r>
            <w:proofErr w:type="spellEnd"/>
          </w:p>
        </w:tc>
      </w:tr>
      <w:tr w:rsidR="00325F44" w:rsidRPr="00BE7456" w14:paraId="12BEB866" w14:textId="77777777" w:rsidTr="006E4750">
        <w:tc>
          <w:tcPr>
            <w:tcW w:w="2547" w:type="dxa"/>
          </w:tcPr>
          <w:p w14:paraId="7EB38BD2" w14:textId="77777777" w:rsidR="00325F44" w:rsidRPr="00F10BC9" w:rsidRDefault="00325F44" w:rsidP="006E4750">
            <w:r w:rsidRPr="00F10BC9">
              <w:lastRenderedPageBreak/>
              <w:t>Career development, Sustainability</w:t>
            </w:r>
          </w:p>
        </w:tc>
        <w:tc>
          <w:tcPr>
            <w:tcW w:w="2693" w:type="dxa"/>
          </w:tcPr>
          <w:p w14:paraId="4907E309" w14:textId="77777777" w:rsidR="00325F44" w:rsidRPr="00F10BC9" w:rsidRDefault="00325F44" w:rsidP="006E4750">
            <w:r>
              <w:t xml:space="preserve">Work with UCL HR to improve recruitment </w:t>
            </w:r>
            <w:r w:rsidRPr="00F10BC9">
              <w:t>and</w:t>
            </w:r>
            <w:r>
              <w:t xml:space="preserve"> retention, workforce planning, opening earlier career entry points via apprentices, apprenticeship levy </w:t>
            </w:r>
            <w:r w:rsidRPr="00F10BC9">
              <w:t>used</w:t>
            </w:r>
            <w:r>
              <w:t xml:space="preserve"> to develop existing staff, job shadowing and rotational training programmes</w:t>
            </w:r>
          </w:p>
        </w:tc>
        <w:tc>
          <w:tcPr>
            <w:tcW w:w="4394" w:type="dxa"/>
          </w:tcPr>
          <w:p w14:paraId="4E9DB1E7" w14:textId="77777777" w:rsidR="00325F44" w:rsidRPr="00F10BC9" w:rsidRDefault="00325F44" w:rsidP="006E4750">
            <w:r w:rsidRPr="00F10BC9">
              <w:t>TSDH, HR, Apprenticeship manager, TMG</w:t>
            </w:r>
          </w:p>
        </w:tc>
      </w:tr>
      <w:tr w:rsidR="00325F44" w:rsidRPr="00BE7456" w14:paraId="12D22F33" w14:textId="77777777" w:rsidTr="006E4750">
        <w:tc>
          <w:tcPr>
            <w:tcW w:w="2547" w:type="dxa"/>
          </w:tcPr>
          <w:p w14:paraId="39B4CD7D" w14:textId="77777777" w:rsidR="00325F44" w:rsidRDefault="00325F44" w:rsidP="006E4750">
            <w:pPr>
              <w:rPr>
                <w:rStyle w:val="normaltextrun"/>
                <w:rFonts w:cs="Arial"/>
                <w:color w:val="000000"/>
              </w:rPr>
            </w:pPr>
            <w:r>
              <w:rPr>
                <w:rStyle w:val="normaltextrun"/>
                <w:rFonts w:cs="Arial"/>
                <w:color w:val="000000"/>
              </w:rPr>
              <w:t>Recognition and Visibility</w:t>
            </w:r>
          </w:p>
        </w:tc>
        <w:tc>
          <w:tcPr>
            <w:tcW w:w="2693" w:type="dxa"/>
          </w:tcPr>
          <w:p w14:paraId="683C033C" w14:textId="77777777" w:rsidR="00325F44" w:rsidRDefault="00325F44" w:rsidP="006E4750">
            <w:r>
              <w:t>Launch a guideline on authorship/fair attribution for publications</w:t>
            </w:r>
          </w:p>
        </w:tc>
        <w:tc>
          <w:tcPr>
            <w:tcW w:w="4394" w:type="dxa"/>
          </w:tcPr>
          <w:p w14:paraId="6154F1EE" w14:textId="77777777" w:rsidR="00325F44" w:rsidRDefault="00325F44" w:rsidP="006E4750">
            <w:pPr>
              <w:rPr>
                <w:rStyle w:val="normaltextrun"/>
                <w:rFonts w:cs="Arial"/>
                <w:color w:val="000000"/>
              </w:rPr>
            </w:pPr>
            <w:r>
              <w:rPr>
                <w:rStyle w:val="normaltextrun"/>
                <w:rFonts w:cs="Arial"/>
                <w:color w:val="000000"/>
              </w:rPr>
              <w:t>TSDH, TMG, UCL Research Culture</w:t>
            </w:r>
          </w:p>
        </w:tc>
      </w:tr>
    </w:tbl>
    <w:p w14:paraId="2469750C" w14:textId="77777777" w:rsidR="00325F44" w:rsidRDefault="00325F44" w:rsidP="00325F44">
      <w:pPr>
        <w:rPr>
          <w:rStyle w:val="normaltextrun"/>
          <w:rFonts w:cs="Arial"/>
          <w:b/>
          <w:bCs/>
          <w:color w:val="000000"/>
        </w:rPr>
      </w:pPr>
    </w:p>
    <w:p w14:paraId="7CBC05B4" w14:textId="77777777" w:rsidR="00325F44" w:rsidRDefault="00325F44" w:rsidP="00325F44">
      <w:pPr>
        <w:rPr>
          <w:rStyle w:val="normaltextrun"/>
          <w:rFonts w:cs="Arial"/>
          <w:color w:val="000000"/>
        </w:rPr>
      </w:pPr>
    </w:p>
    <w:p w14:paraId="1122237D" w14:textId="6D0D9772" w:rsidR="00535775" w:rsidRPr="00535775" w:rsidRDefault="00535775" w:rsidP="00325F44">
      <w:pPr>
        <w:pStyle w:val="Heading1"/>
      </w:pPr>
    </w:p>
    <w:sectPr w:rsidR="00535775" w:rsidRPr="00535775" w:rsidSect="005711D4">
      <w:pgSz w:w="11900" w:h="16840"/>
      <w:pgMar w:top="2845" w:right="851" w:bottom="1559" w:left="851" w:header="0" w:footer="709"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261B6"/>
    <w:multiLevelType w:val="hybridMultilevel"/>
    <w:tmpl w:val="9BA81026"/>
    <w:lvl w:ilvl="0" w:tplc="04EE8E4A">
      <w:start w:val="1"/>
      <w:numFmt w:val="bullet"/>
      <w:lvlText w:val="-"/>
      <w:lvlJc w:val="left"/>
      <w:pPr>
        <w:tabs>
          <w:tab w:val="num" w:pos="720"/>
        </w:tabs>
        <w:ind w:left="720" w:hanging="360"/>
      </w:pPr>
      <w:rPr>
        <w:rFonts w:ascii="Times New Roman" w:hAnsi="Times New Roman" w:hint="default"/>
      </w:rPr>
    </w:lvl>
    <w:lvl w:ilvl="1" w:tplc="244CFB82" w:tentative="1">
      <w:start w:val="1"/>
      <w:numFmt w:val="bullet"/>
      <w:lvlText w:val="-"/>
      <w:lvlJc w:val="left"/>
      <w:pPr>
        <w:tabs>
          <w:tab w:val="num" w:pos="1440"/>
        </w:tabs>
        <w:ind w:left="1440" w:hanging="360"/>
      </w:pPr>
      <w:rPr>
        <w:rFonts w:ascii="Times New Roman" w:hAnsi="Times New Roman" w:hint="default"/>
      </w:rPr>
    </w:lvl>
    <w:lvl w:ilvl="2" w:tplc="53EAC858" w:tentative="1">
      <w:start w:val="1"/>
      <w:numFmt w:val="bullet"/>
      <w:lvlText w:val="-"/>
      <w:lvlJc w:val="left"/>
      <w:pPr>
        <w:tabs>
          <w:tab w:val="num" w:pos="2160"/>
        </w:tabs>
        <w:ind w:left="2160" w:hanging="360"/>
      </w:pPr>
      <w:rPr>
        <w:rFonts w:ascii="Times New Roman" w:hAnsi="Times New Roman" w:hint="default"/>
      </w:rPr>
    </w:lvl>
    <w:lvl w:ilvl="3" w:tplc="6CA091CE" w:tentative="1">
      <w:start w:val="1"/>
      <w:numFmt w:val="bullet"/>
      <w:lvlText w:val="-"/>
      <w:lvlJc w:val="left"/>
      <w:pPr>
        <w:tabs>
          <w:tab w:val="num" w:pos="2880"/>
        </w:tabs>
        <w:ind w:left="2880" w:hanging="360"/>
      </w:pPr>
      <w:rPr>
        <w:rFonts w:ascii="Times New Roman" w:hAnsi="Times New Roman" w:hint="default"/>
      </w:rPr>
    </w:lvl>
    <w:lvl w:ilvl="4" w:tplc="089A7DAA" w:tentative="1">
      <w:start w:val="1"/>
      <w:numFmt w:val="bullet"/>
      <w:lvlText w:val="-"/>
      <w:lvlJc w:val="left"/>
      <w:pPr>
        <w:tabs>
          <w:tab w:val="num" w:pos="3600"/>
        </w:tabs>
        <w:ind w:left="3600" w:hanging="360"/>
      </w:pPr>
      <w:rPr>
        <w:rFonts w:ascii="Times New Roman" w:hAnsi="Times New Roman" w:hint="default"/>
      </w:rPr>
    </w:lvl>
    <w:lvl w:ilvl="5" w:tplc="5E9AB3F4" w:tentative="1">
      <w:start w:val="1"/>
      <w:numFmt w:val="bullet"/>
      <w:lvlText w:val="-"/>
      <w:lvlJc w:val="left"/>
      <w:pPr>
        <w:tabs>
          <w:tab w:val="num" w:pos="4320"/>
        </w:tabs>
        <w:ind w:left="4320" w:hanging="360"/>
      </w:pPr>
      <w:rPr>
        <w:rFonts w:ascii="Times New Roman" w:hAnsi="Times New Roman" w:hint="default"/>
      </w:rPr>
    </w:lvl>
    <w:lvl w:ilvl="6" w:tplc="40D0FBA4" w:tentative="1">
      <w:start w:val="1"/>
      <w:numFmt w:val="bullet"/>
      <w:lvlText w:val="-"/>
      <w:lvlJc w:val="left"/>
      <w:pPr>
        <w:tabs>
          <w:tab w:val="num" w:pos="5040"/>
        </w:tabs>
        <w:ind w:left="5040" w:hanging="360"/>
      </w:pPr>
      <w:rPr>
        <w:rFonts w:ascii="Times New Roman" w:hAnsi="Times New Roman" w:hint="default"/>
      </w:rPr>
    </w:lvl>
    <w:lvl w:ilvl="7" w:tplc="6DF4A798" w:tentative="1">
      <w:start w:val="1"/>
      <w:numFmt w:val="bullet"/>
      <w:lvlText w:val="-"/>
      <w:lvlJc w:val="left"/>
      <w:pPr>
        <w:tabs>
          <w:tab w:val="num" w:pos="5760"/>
        </w:tabs>
        <w:ind w:left="5760" w:hanging="360"/>
      </w:pPr>
      <w:rPr>
        <w:rFonts w:ascii="Times New Roman" w:hAnsi="Times New Roman" w:hint="default"/>
      </w:rPr>
    </w:lvl>
    <w:lvl w:ilvl="8" w:tplc="F1A4A234"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45423375"/>
    <w:multiLevelType w:val="hybridMultilevel"/>
    <w:tmpl w:val="AC5CBE7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56013F31"/>
    <w:multiLevelType w:val="hybridMultilevel"/>
    <w:tmpl w:val="F6CEED82"/>
    <w:lvl w:ilvl="0" w:tplc="3C7249CC">
      <w:start w:val="1"/>
      <w:numFmt w:val="bullet"/>
      <w:lvlText w:val=""/>
      <w:lvlJc w:val="left"/>
      <w:pPr>
        <w:tabs>
          <w:tab w:val="num" w:pos="720"/>
        </w:tabs>
        <w:ind w:left="720" w:hanging="360"/>
      </w:pPr>
      <w:rPr>
        <w:rFonts w:ascii="Wingdings" w:hAnsi="Wingdings" w:hint="default"/>
      </w:rPr>
    </w:lvl>
    <w:lvl w:ilvl="1" w:tplc="A30200F0" w:tentative="1">
      <w:start w:val="1"/>
      <w:numFmt w:val="bullet"/>
      <w:lvlText w:val=""/>
      <w:lvlJc w:val="left"/>
      <w:pPr>
        <w:tabs>
          <w:tab w:val="num" w:pos="1440"/>
        </w:tabs>
        <w:ind w:left="1440" w:hanging="360"/>
      </w:pPr>
      <w:rPr>
        <w:rFonts w:ascii="Wingdings" w:hAnsi="Wingdings" w:hint="default"/>
      </w:rPr>
    </w:lvl>
    <w:lvl w:ilvl="2" w:tplc="543AC956" w:tentative="1">
      <w:start w:val="1"/>
      <w:numFmt w:val="bullet"/>
      <w:lvlText w:val=""/>
      <w:lvlJc w:val="left"/>
      <w:pPr>
        <w:tabs>
          <w:tab w:val="num" w:pos="2160"/>
        </w:tabs>
        <w:ind w:left="2160" w:hanging="360"/>
      </w:pPr>
      <w:rPr>
        <w:rFonts w:ascii="Wingdings" w:hAnsi="Wingdings" w:hint="default"/>
      </w:rPr>
    </w:lvl>
    <w:lvl w:ilvl="3" w:tplc="7EEA71E6" w:tentative="1">
      <w:start w:val="1"/>
      <w:numFmt w:val="bullet"/>
      <w:lvlText w:val=""/>
      <w:lvlJc w:val="left"/>
      <w:pPr>
        <w:tabs>
          <w:tab w:val="num" w:pos="2880"/>
        </w:tabs>
        <w:ind w:left="2880" w:hanging="360"/>
      </w:pPr>
      <w:rPr>
        <w:rFonts w:ascii="Wingdings" w:hAnsi="Wingdings" w:hint="default"/>
      </w:rPr>
    </w:lvl>
    <w:lvl w:ilvl="4" w:tplc="E160B9CC" w:tentative="1">
      <w:start w:val="1"/>
      <w:numFmt w:val="bullet"/>
      <w:lvlText w:val=""/>
      <w:lvlJc w:val="left"/>
      <w:pPr>
        <w:tabs>
          <w:tab w:val="num" w:pos="3600"/>
        </w:tabs>
        <w:ind w:left="3600" w:hanging="360"/>
      </w:pPr>
      <w:rPr>
        <w:rFonts w:ascii="Wingdings" w:hAnsi="Wingdings" w:hint="default"/>
      </w:rPr>
    </w:lvl>
    <w:lvl w:ilvl="5" w:tplc="50682E48" w:tentative="1">
      <w:start w:val="1"/>
      <w:numFmt w:val="bullet"/>
      <w:lvlText w:val=""/>
      <w:lvlJc w:val="left"/>
      <w:pPr>
        <w:tabs>
          <w:tab w:val="num" w:pos="4320"/>
        </w:tabs>
        <w:ind w:left="4320" w:hanging="360"/>
      </w:pPr>
      <w:rPr>
        <w:rFonts w:ascii="Wingdings" w:hAnsi="Wingdings" w:hint="default"/>
      </w:rPr>
    </w:lvl>
    <w:lvl w:ilvl="6" w:tplc="0D560888" w:tentative="1">
      <w:start w:val="1"/>
      <w:numFmt w:val="bullet"/>
      <w:lvlText w:val=""/>
      <w:lvlJc w:val="left"/>
      <w:pPr>
        <w:tabs>
          <w:tab w:val="num" w:pos="5040"/>
        </w:tabs>
        <w:ind w:left="5040" w:hanging="360"/>
      </w:pPr>
      <w:rPr>
        <w:rFonts w:ascii="Wingdings" w:hAnsi="Wingdings" w:hint="default"/>
      </w:rPr>
    </w:lvl>
    <w:lvl w:ilvl="7" w:tplc="B5364A44" w:tentative="1">
      <w:start w:val="1"/>
      <w:numFmt w:val="bullet"/>
      <w:lvlText w:val=""/>
      <w:lvlJc w:val="left"/>
      <w:pPr>
        <w:tabs>
          <w:tab w:val="num" w:pos="5760"/>
        </w:tabs>
        <w:ind w:left="5760" w:hanging="360"/>
      </w:pPr>
      <w:rPr>
        <w:rFonts w:ascii="Wingdings" w:hAnsi="Wingdings" w:hint="default"/>
      </w:rPr>
    </w:lvl>
    <w:lvl w:ilvl="8" w:tplc="84C057A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9BE47C5"/>
    <w:multiLevelType w:val="hybridMultilevel"/>
    <w:tmpl w:val="35765752"/>
    <w:lvl w:ilvl="0" w:tplc="56325554">
      <w:start w:val="1"/>
      <w:numFmt w:val="bullet"/>
      <w:lvlText w:val="-"/>
      <w:lvlJc w:val="left"/>
      <w:pPr>
        <w:tabs>
          <w:tab w:val="num" w:pos="720"/>
        </w:tabs>
        <w:ind w:left="720" w:hanging="360"/>
      </w:pPr>
      <w:rPr>
        <w:rFonts w:ascii="Times New Roman" w:hAnsi="Times New Roman" w:hint="default"/>
      </w:rPr>
    </w:lvl>
    <w:lvl w:ilvl="1" w:tplc="DBF0484E" w:tentative="1">
      <w:start w:val="1"/>
      <w:numFmt w:val="bullet"/>
      <w:lvlText w:val="-"/>
      <w:lvlJc w:val="left"/>
      <w:pPr>
        <w:tabs>
          <w:tab w:val="num" w:pos="1440"/>
        </w:tabs>
        <w:ind w:left="1440" w:hanging="360"/>
      </w:pPr>
      <w:rPr>
        <w:rFonts w:ascii="Times New Roman" w:hAnsi="Times New Roman" w:hint="default"/>
      </w:rPr>
    </w:lvl>
    <w:lvl w:ilvl="2" w:tplc="5DFACEFC" w:tentative="1">
      <w:start w:val="1"/>
      <w:numFmt w:val="bullet"/>
      <w:lvlText w:val="-"/>
      <w:lvlJc w:val="left"/>
      <w:pPr>
        <w:tabs>
          <w:tab w:val="num" w:pos="2160"/>
        </w:tabs>
        <w:ind w:left="2160" w:hanging="360"/>
      </w:pPr>
      <w:rPr>
        <w:rFonts w:ascii="Times New Roman" w:hAnsi="Times New Roman" w:hint="default"/>
      </w:rPr>
    </w:lvl>
    <w:lvl w:ilvl="3" w:tplc="55FAAA42" w:tentative="1">
      <w:start w:val="1"/>
      <w:numFmt w:val="bullet"/>
      <w:lvlText w:val="-"/>
      <w:lvlJc w:val="left"/>
      <w:pPr>
        <w:tabs>
          <w:tab w:val="num" w:pos="2880"/>
        </w:tabs>
        <w:ind w:left="2880" w:hanging="360"/>
      </w:pPr>
      <w:rPr>
        <w:rFonts w:ascii="Times New Roman" w:hAnsi="Times New Roman" w:hint="default"/>
      </w:rPr>
    </w:lvl>
    <w:lvl w:ilvl="4" w:tplc="4C3ABF00" w:tentative="1">
      <w:start w:val="1"/>
      <w:numFmt w:val="bullet"/>
      <w:lvlText w:val="-"/>
      <w:lvlJc w:val="left"/>
      <w:pPr>
        <w:tabs>
          <w:tab w:val="num" w:pos="3600"/>
        </w:tabs>
        <w:ind w:left="3600" w:hanging="360"/>
      </w:pPr>
      <w:rPr>
        <w:rFonts w:ascii="Times New Roman" w:hAnsi="Times New Roman" w:hint="default"/>
      </w:rPr>
    </w:lvl>
    <w:lvl w:ilvl="5" w:tplc="142A0288" w:tentative="1">
      <w:start w:val="1"/>
      <w:numFmt w:val="bullet"/>
      <w:lvlText w:val="-"/>
      <w:lvlJc w:val="left"/>
      <w:pPr>
        <w:tabs>
          <w:tab w:val="num" w:pos="4320"/>
        </w:tabs>
        <w:ind w:left="4320" w:hanging="360"/>
      </w:pPr>
      <w:rPr>
        <w:rFonts w:ascii="Times New Roman" w:hAnsi="Times New Roman" w:hint="default"/>
      </w:rPr>
    </w:lvl>
    <w:lvl w:ilvl="6" w:tplc="59D4B092" w:tentative="1">
      <w:start w:val="1"/>
      <w:numFmt w:val="bullet"/>
      <w:lvlText w:val="-"/>
      <w:lvlJc w:val="left"/>
      <w:pPr>
        <w:tabs>
          <w:tab w:val="num" w:pos="5040"/>
        </w:tabs>
        <w:ind w:left="5040" w:hanging="360"/>
      </w:pPr>
      <w:rPr>
        <w:rFonts w:ascii="Times New Roman" w:hAnsi="Times New Roman" w:hint="default"/>
      </w:rPr>
    </w:lvl>
    <w:lvl w:ilvl="7" w:tplc="414C5082" w:tentative="1">
      <w:start w:val="1"/>
      <w:numFmt w:val="bullet"/>
      <w:lvlText w:val="-"/>
      <w:lvlJc w:val="left"/>
      <w:pPr>
        <w:tabs>
          <w:tab w:val="num" w:pos="5760"/>
        </w:tabs>
        <w:ind w:left="5760" w:hanging="360"/>
      </w:pPr>
      <w:rPr>
        <w:rFonts w:ascii="Times New Roman" w:hAnsi="Times New Roman" w:hint="default"/>
      </w:rPr>
    </w:lvl>
    <w:lvl w:ilvl="8" w:tplc="23FCD974"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7AEB5980"/>
    <w:multiLevelType w:val="hybridMultilevel"/>
    <w:tmpl w:val="B7049AD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16cid:durableId="896824207">
    <w:abstractNumId w:val="4"/>
  </w:num>
  <w:num w:numId="2" w16cid:durableId="1351839239">
    <w:abstractNumId w:val="1"/>
  </w:num>
  <w:num w:numId="3" w16cid:durableId="1616978979">
    <w:abstractNumId w:val="2"/>
  </w:num>
  <w:num w:numId="4" w16cid:durableId="1634558099">
    <w:abstractNumId w:val="0"/>
  </w:num>
  <w:num w:numId="5" w16cid:durableId="19556677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825"/>
    <w:rsid w:val="00036933"/>
    <w:rsid w:val="00063145"/>
    <w:rsid w:val="00114651"/>
    <w:rsid w:val="00242908"/>
    <w:rsid w:val="00273183"/>
    <w:rsid w:val="00285C1E"/>
    <w:rsid w:val="002F0B88"/>
    <w:rsid w:val="00325F44"/>
    <w:rsid w:val="003B6863"/>
    <w:rsid w:val="004565F7"/>
    <w:rsid w:val="004724E6"/>
    <w:rsid w:val="0047522E"/>
    <w:rsid w:val="004B56D8"/>
    <w:rsid w:val="004C72B3"/>
    <w:rsid w:val="005335C2"/>
    <w:rsid w:val="00535775"/>
    <w:rsid w:val="005711D4"/>
    <w:rsid w:val="0058747B"/>
    <w:rsid w:val="0067143D"/>
    <w:rsid w:val="007B1DFB"/>
    <w:rsid w:val="007C529A"/>
    <w:rsid w:val="007F4C10"/>
    <w:rsid w:val="00895BBD"/>
    <w:rsid w:val="008B2868"/>
    <w:rsid w:val="00947A53"/>
    <w:rsid w:val="009C3E01"/>
    <w:rsid w:val="009D6CD9"/>
    <w:rsid w:val="00A84928"/>
    <w:rsid w:val="00AB108F"/>
    <w:rsid w:val="00B430B8"/>
    <w:rsid w:val="00B55F04"/>
    <w:rsid w:val="00C54DD6"/>
    <w:rsid w:val="00C7082D"/>
    <w:rsid w:val="00E2673D"/>
    <w:rsid w:val="00E80DCE"/>
    <w:rsid w:val="00EF2F5E"/>
    <w:rsid w:val="00F10BC9"/>
    <w:rsid w:val="00FA380D"/>
    <w:rsid w:val="00FF58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D8118"/>
  <w15:chartTrackingRefBased/>
  <w15:docId w15:val="{0BE01CE5-D577-413F-A791-61E7E3C05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5825"/>
    <w:pPr>
      <w:spacing w:after="120" w:line="240" w:lineRule="auto"/>
    </w:pPr>
    <w:rPr>
      <w:rFonts w:ascii="Arial" w:eastAsiaTheme="minorEastAsia" w:hAnsi="Arial" w:cs="Times New Roman"/>
      <w:sz w:val="24"/>
      <w:szCs w:val="24"/>
      <w:lang w:eastAsia="ja-JP"/>
    </w:rPr>
  </w:style>
  <w:style w:type="paragraph" w:styleId="Heading1">
    <w:name w:val="heading 1"/>
    <w:basedOn w:val="Normal"/>
    <w:next w:val="Normal"/>
    <w:link w:val="Heading1Char"/>
    <w:uiPriority w:val="9"/>
    <w:qFormat/>
    <w:rsid w:val="002F0B88"/>
    <w:pPr>
      <w:keepNext/>
      <w:keepLines/>
      <w:pBdr>
        <w:top w:val="single" w:sz="4" w:space="1" w:color="auto"/>
      </w:pBdr>
      <w:spacing w:before="240" w:after="0"/>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E80DCE"/>
    <w:pPr>
      <w:keepNext/>
      <w:keepLines/>
      <w:spacing w:before="40" w:after="0"/>
      <w:outlineLvl w:val="1"/>
    </w:pPr>
    <w:rPr>
      <w:rFonts w:eastAsiaTheme="majorEastAsia" w:cstheme="majorBidi"/>
      <w:b/>
      <w:color w:val="404040" w:themeColor="text1" w:themeTint="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rapline">
    <w:name w:val="strapline"/>
    <w:basedOn w:val="Normal"/>
    <w:qFormat/>
    <w:rsid w:val="0058747B"/>
    <w:pPr>
      <w:spacing w:after="0" w:line="230" w:lineRule="exact"/>
    </w:pPr>
    <w:rPr>
      <w:rFonts w:cs="Arial"/>
      <w:b/>
      <w:color w:val="FFFFFF" w:themeColor="background1"/>
      <w:sz w:val="20"/>
      <w:szCs w:val="20"/>
    </w:rPr>
  </w:style>
  <w:style w:type="table" w:styleId="TableGrid">
    <w:name w:val="Table Grid"/>
    <w:basedOn w:val="TableNormal"/>
    <w:uiPriority w:val="39"/>
    <w:rsid w:val="001146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F0B88"/>
    <w:rPr>
      <w:rFonts w:ascii="Arial" w:eastAsiaTheme="majorEastAsia" w:hAnsi="Arial" w:cstheme="majorBidi"/>
      <w:b/>
      <w:color w:val="000000" w:themeColor="text1"/>
      <w:sz w:val="32"/>
      <w:szCs w:val="32"/>
      <w:lang w:eastAsia="ja-JP"/>
    </w:rPr>
  </w:style>
  <w:style w:type="paragraph" w:styleId="Title">
    <w:name w:val="Title"/>
    <w:basedOn w:val="Normal"/>
    <w:next w:val="Normal"/>
    <w:link w:val="TitleChar"/>
    <w:uiPriority w:val="10"/>
    <w:qFormat/>
    <w:rsid w:val="00895BBD"/>
    <w:pPr>
      <w:spacing w:after="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895BBD"/>
    <w:rPr>
      <w:rFonts w:ascii="Arial" w:eastAsiaTheme="majorEastAsia" w:hAnsi="Arial" w:cstheme="majorBidi"/>
      <w:spacing w:val="-10"/>
      <w:kern w:val="28"/>
      <w:sz w:val="56"/>
      <w:szCs w:val="56"/>
      <w:lang w:eastAsia="ja-JP"/>
    </w:rPr>
  </w:style>
  <w:style w:type="paragraph" w:styleId="Subtitle">
    <w:name w:val="Subtitle"/>
    <w:basedOn w:val="Normal"/>
    <w:next w:val="Normal"/>
    <w:link w:val="SubtitleChar"/>
    <w:uiPriority w:val="11"/>
    <w:qFormat/>
    <w:rsid w:val="00895BBD"/>
    <w:pPr>
      <w:numPr>
        <w:ilvl w:val="1"/>
      </w:numPr>
      <w:spacing w:after="160"/>
    </w:pPr>
    <w:rPr>
      <w:rFonts w:cstheme="minorBidi"/>
      <w:color w:val="000000" w:themeColor="text1"/>
      <w:spacing w:val="15"/>
      <w:sz w:val="22"/>
      <w:szCs w:val="22"/>
    </w:rPr>
  </w:style>
  <w:style w:type="character" w:customStyle="1" w:styleId="SubtitleChar">
    <w:name w:val="Subtitle Char"/>
    <w:basedOn w:val="DefaultParagraphFont"/>
    <w:link w:val="Subtitle"/>
    <w:uiPriority w:val="11"/>
    <w:rsid w:val="00895BBD"/>
    <w:rPr>
      <w:rFonts w:ascii="Arial" w:eastAsiaTheme="minorEastAsia" w:hAnsi="Arial"/>
      <w:color w:val="000000" w:themeColor="text1"/>
      <w:spacing w:val="15"/>
      <w:lang w:eastAsia="ja-JP"/>
    </w:rPr>
  </w:style>
  <w:style w:type="character" w:styleId="SubtleEmphasis">
    <w:name w:val="Subtle Emphasis"/>
    <w:basedOn w:val="DefaultParagraphFont"/>
    <w:uiPriority w:val="19"/>
    <w:qFormat/>
    <w:rsid w:val="00895BBD"/>
    <w:rPr>
      <w:rFonts w:ascii="Arial" w:hAnsi="Arial"/>
      <w:i/>
      <w:iCs/>
      <w:color w:val="404040" w:themeColor="text1" w:themeTint="BF"/>
    </w:rPr>
  </w:style>
  <w:style w:type="paragraph" w:styleId="Quote">
    <w:name w:val="Quote"/>
    <w:basedOn w:val="Normal"/>
    <w:next w:val="Normal"/>
    <w:link w:val="QuoteChar"/>
    <w:uiPriority w:val="29"/>
    <w:qFormat/>
    <w:rsid w:val="00895BB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95BBD"/>
    <w:rPr>
      <w:rFonts w:ascii="Arial" w:eastAsiaTheme="minorEastAsia" w:hAnsi="Arial" w:cs="Times New Roman"/>
      <w:i/>
      <w:iCs/>
      <w:color w:val="404040" w:themeColor="text1" w:themeTint="BF"/>
      <w:sz w:val="24"/>
      <w:szCs w:val="24"/>
      <w:lang w:eastAsia="ja-JP"/>
    </w:rPr>
  </w:style>
  <w:style w:type="character" w:customStyle="1" w:styleId="Heading2Char">
    <w:name w:val="Heading 2 Char"/>
    <w:basedOn w:val="DefaultParagraphFont"/>
    <w:link w:val="Heading2"/>
    <w:uiPriority w:val="9"/>
    <w:rsid w:val="00E80DCE"/>
    <w:rPr>
      <w:rFonts w:ascii="Arial" w:eastAsiaTheme="majorEastAsia" w:hAnsi="Arial" w:cstheme="majorBidi"/>
      <w:b/>
      <w:color w:val="404040" w:themeColor="text1" w:themeTint="BF"/>
      <w:sz w:val="26"/>
      <w:szCs w:val="26"/>
      <w:lang w:eastAsia="ja-JP"/>
    </w:rPr>
  </w:style>
  <w:style w:type="character" w:styleId="IntenseEmphasis">
    <w:name w:val="Intense Emphasis"/>
    <w:basedOn w:val="DefaultParagraphFont"/>
    <w:uiPriority w:val="21"/>
    <w:qFormat/>
    <w:rsid w:val="00895BBD"/>
    <w:rPr>
      <w:b/>
      <w:i/>
      <w:iCs/>
      <w:color w:val="000000" w:themeColor="text1"/>
    </w:rPr>
  </w:style>
  <w:style w:type="character" w:styleId="SubtleReference">
    <w:name w:val="Subtle Reference"/>
    <w:basedOn w:val="DefaultParagraphFont"/>
    <w:uiPriority w:val="31"/>
    <w:qFormat/>
    <w:rsid w:val="00895BBD"/>
    <w:rPr>
      <w:rFonts w:ascii="Arial" w:hAnsi="Arial"/>
      <w:caps w:val="0"/>
      <w:smallCaps w:val="0"/>
      <w:strike w:val="0"/>
      <w:dstrike w:val="0"/>
      <w:vanish w:val="0"/>
      <w:color w:val="5A5A5A" w:themeColor="text1" w:themeTint="A5"/>
      <w:vertAlign w:val="baseline"/>
    </w:rPr>
  </w:style>
  <w:style w:type="character" w:styleId="IntenseReference">
    <w:name w:val="Intense Reference"/>
    <w:basedOn w:val="DefaultParagraphFont"/>
    <w:uiPriority w:val="32"/>
    <w:qFormat/>
    <w:rsid w:val="00895BBD"/>
    <w:rPr>
      <w:rFonts w:ascii="Arial" w:hAnsi="Arial"/>
      <w:b/>
      <w:bCs/>
      <w:i w:val="0"/>
      <w:caps w:val="0"/>
      <w:smallCaps w:val="0"/>
      <w:strike w:val="0"/>
      <w:dstrike w:val="0"/>
      <w:vanish w:val="0"/>
      <w:color w:val="000000" w:themeColor="text1"/>
      <w:spacing w:val="5"/>
      <w:vertAlign w:val="baseline"/>
    </w:rPr>
  </w:style>
  <w:style w:type="character" w:styleId="BookTitle">
    <w:name w:val="Book Title"/>
    <w:basedOn w:val="DefaultParagraphFont"/>
    <w:uiPriority w:val="33"/>
    <w:qFormat/>
    <w:rsid w:val="00895BBD"/>
    <w:rPr>
      <w:b/>
      <w:bCs/>
      <w:i/>
      <w:iCs/>
      <w:spacing w:val="5"/>
    </w:rPr>
  </w:style>
  <w:style w:type="paragraph" w:styleId="ListParagraph">
    <w:name w:val="List Paragraph"/>
    <w:basedOn w:val="Normal"/>
    <w:uiPriority w:val="34"/>
    <w:qFormat/>
    <w:rsid w:val="00895BBD"/>
    <w:pPr>
      <w:ind w:left="720"/>
      <w:contextualSpacing/>
    </w:pPr>
  </w:style>
  <w:style w:type="character" w:styleId="Hyperlink">
    <w:name w:val="Hyperlink"/>
    <w:basedOn w:val="DefaultParagraphFont"/>
    <w:uiPriority w:val="99"/>
    <w:unhideWhenUsed/>
    <w:rsid w:val="0067143D"/>
    <w:rPr>
      <w:color w:val="0563C1" w:themeColor="hyperlink"/>
      <w:u w:val="single"/>
    </w:rPr>
  </w:style>
  <w:style w:type="character" w:styleId="UnresolvedMention">
    <w:name w:val="Unresolved Mention"/>
    <w:basedOn w:val="DefaultParagraphFont"/>
    <w:uiPriority w:val="99"/>
    <w:semiHidden/>
    <w:unhideWhenUsed/>
    <w:rsid w:val="0067143D"/>
    <w:rPr>
      <w:color w:val="605E5C"/>
      <w:shd w:val="clear" w:color="auto" w:fill="E1DFDD"/>
    </w:rPr>
  </w:style>
  <w:style w:type="paragraph" w:customStyle="1" w:styleId="paragraph">
    <w:name w:val="paragraph"/>
    <w:basedOn w:val="Normal"/>
    <w:rsid w:val="00535775"/>
    <w:pPr>
      <w:spacing w:before="100" w:beforeAutospacing="1" w:after="100" w:afterAutospacing="1"/>
    </w:pPr>
    <w:rPr>
      <w:rFonts w:ascii="Times New Roman" w:eastAsia="Times New Roman" w:hAnsi="Times New Roman"/>
      <w:lang w:eastAsia="es-ES_tradnl"/>
    </w:rPr>
  </w:style>
  <w:style w:type="character" w:customStyle="1" w:styleId="normaltextrun">
    <w:name w:val="normaltextrun"/>
    <w:basedOn w:val="DefaultParagraphFont"/>
    <w:rsid w:val="00535775"/>
  </w:style>
  <w:style w:type="character" w:customStyle="1" w:styleId="eop">
    <w:name w:val="eop"/>
    <w:basedOn w:val="DefaultParagraphFont"/>
    <w:rsid w:val="00535775"/>
  </w:style>
  <w:style w:type="paragraph" w:customStyle="1" w:styleId="Default">
    <w:name w:val="Default"/>
    <w:rsid w:val="00325F44"/>
    <w:pPr>
      <w:autoSpaceDE w:val="0"/>
      <w:autoSpaceDN w:val="0"/>
      <w:adjustRightInd w:val="0"/>
      <w:spacing w:after="0" w:line="240" w:lineRule="auto"/>
    </w:pPr>
    <w:rPr>
      <w:rFonts w:ascii="Calibri" w:hAnsi="Calibri" w:cs="Calibri"/>
      <w:color w:val="000000"/>
      <w:sz w:val="24"/>
      <w:szCs w:val="24"/>
    </w:rPr>
  </w:style>
  <w:style w:type="paragraph" w:customStyle="1" w:styleId="pf0">
    <w:name w:val="pf0"/>
    <w:basedOn w:val="Normal"/>
    <w:rsid w:val="00325F44"/>
    <w:pPr>
      <w:spacing w:before="100" w:beforeAutospacing="1" w:after="100" w:afterAutospacing="1"/>
    </w:pPr>
    <w:rPr>
      <w:rFonts w:ascii="Times New Roman" w:eastAsia="Times New Roman" w:hAnsi="Times New Roman"/>
      <w:lang w:eastAsia="en-GB"/>
    </w:rPr>
  </w:style>
  <w:style w:type="character" w:customStyle="1" w:styleId="cf01">
    <w:name w:val="cf01"/>
    <w:basedOn w:val="DefaultParagraphFont"/>
    <w:rsid w:val="00325F4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8369678">
      <w:bodyDiv w:val="1"/>
      <w:marLeft w:val="0"/>
      <w:marRight w:val="0"/>
      <w:marTop w:val="0"/>
      <w:marBottom w:val="0"/>
      <w:divBdr>
        <w:top w:val="none" w:sz="0" w:space="0" w:color="auto"/>
        <w:left w:val="none" w:sz="0" w:space="0" w:color="auto"/>
        <w:bottom w:val="none" w:sz="0" w:space="0" w:color="auto"/>
        <w:right w:val="none" w:sz="0" w:space="0" w:color="auto"/>
      </w:divBdr>
      <w:divsChild>
        <w:div w:id="2023621948">
          <w:marLeft w:val="0"/>
          <w:marRight w:val="0"/>
          <w:marTop w:val="0"/>
          <w:marBottom w:val="0"/>
          <w:divBdr>
            <w:top w:val="none" w:sz="0" w:space="0" w:color="auto"/>
            <w:left w:val="none" w:sz="0" w:space="0" w:color="auto"/>
            <w:bottom w:val="none" w:sz="0" w:space="0" w:color="auto"/>
            <w:right w:val="none" w:sz="0" w:space="0" w:color="auto"/>
          </w:divBdr>
        </w:div>
        <w:div w:id="1518497247">
          <w:marLeft w:val="0"/>
          <w:marRight w:val="0"/>
          <w:marTop w:val="0"/>
          <w:marBottom w:val="0"/>
          <w:divBdr>
            <w:top w:val="none" w:sz="0" w:space="0" w:color="auto"/>
            <w:left w:val="none" w:sz="0" w:space="0" w:color="auto"/>
            <w:bottom w:val="none" w:sz="0" w:space="0" w:color="auto"/>
            <w:right w:val="none" w:sz="0" w:space="0" w:color="auto"/>
          </w:divBdr>
        </w:div>
        <w:div w:id="781805386">
          <w:marLeft w:val="0"/>
          <w:marRight w:val="0"/>
          <w:marTop w:val="0"/>
          <w:marBottom w:val="0"/>
          <w:divBdr>
            <w:top w:val="none" w:sz="0" w:space="0" w:color="auto"/>
            <w:left w:val="none" w:sz="0" w:space="0" w:color="auto"/>
            <w:bottom w:val="none" w:sz="0" w:space="0" w:color="auto"/>
            <w:right w:val="none" w:sz="0" w:space="0" w:color="auto"/>
          </w:divBdr>
        </w:div>
        <w:div w:id="968436762">
          <w:marLeft w:val="0"/>
          <w:marRight w:val="0"/>
          <w:marTop w:val="0"/>
          <w:marBottom w:val="0"/>
          <w:divBdr>
            <w:top w:val="none" w:sz="0" w:space="0" w:color="auto"/>
            <w:left w:val="none" w:sz="0" w:space="0" w:color="auto"/>
            <w:bottom w:val="none" w:sz="0" w:space="0" w:color="auto"/>
            <w:right w:val="none" w:sz="0" w:space="0" w:color="auto"/>
          </w:divBdr>
        </w:div>
        <w:div w:id="19822703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ciencecouncil.org/blog/2022/08/02/ucl-become-our-latest-employer-champion/"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8</Pages>
  <Words>1784</Words>
  <Characters>10174</Characters>
  <Application>Microsoft Office Word</Application>
  <DocSecurity>0</DocSecurity>
  <Lines>84</Lines>
  <Paragraphs>23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UCL VPEE </dc:creator>
  <cp:keywords/>
  <dc:description/>
  <cp:lastModifiedBy>Goncalves Cattuzzo, Isabel</cp:lastModifiedBy>
  <cp:revision>6</cp:revision>
  <dcterms:created xsi:type="dcterms:W3CDTF">2023-05-25T13:24:00Z</dcterms:created>
  <dcterms:modified xsi:type="dcterms:W3CDTF">2024-04-22T12:37:00Z</dcterms:modified>
</cp:coreProperties>
</file>